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F3FED">
      <w:pPr>
        <w:rPr>
          <w:rFonts w:hint="eastAsia" w:ascii="黑体" w:hAnsi="黑体" w:eastAsia="黑体"/>
          <w:sz w:val="32"/>
          <w:szCs w:val="32"/>
        </w:rPr>
      </w:pPr>
    </w:p>
    <w:p w14:paraId="2B6438C5">
      <w:pPr>
        <w:jc w:val="center"/>
        <w:rPr>
          <w:rFonts w:hint="eastAsia" w:ascii="方正小标宋_GBK" w:hAnsi="宋体" w:eastAsia="方正小标宋_GBK"/>
          <w:sz w:val="44"/>
          <w:szCs w:val="44"/>
        </w:rPr>
      </w:pPr>
    </w:p>
    <w:p w14:paraId="3EE2B6F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木垒哈萨克自治县博物馆</w:t>
      </w:r>
    </w:p>
    <w:p w14:paraId="1A91A33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02FDA2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6D22F6B">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871D663">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23A8ED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B86F0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2C443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E5D59E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E4F41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19076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E24FCD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C04E74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32A3F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6E52C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0F617D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BFD3D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D2DC372">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FAFEC1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B011BF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49B15B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C9C196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B87E9E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825EAA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1A82CC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BCA06E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07708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18784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700DFE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79ACE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8EC25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673C7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2ACD3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B4174E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92DBE3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AE65191">
      <w:r>
        <w:rPr>
          <w:rFonts w:hint="eastAsia" w:ascii="仿宋_GB2312" w:hAnsi="仿宋_GB2312" w:eastAsia="仿宋_GB2312" w:cs="仿宋_GB2312"/>
          <w:sz w:val="32"/>
          <w:szCs w:val="32"/>
        </w:rPr>
        <w:fldChar w:fldCharType="end"/>
      </w:r>
    </w:p>
    <w:p w14:paraId="60D3F380">
      <w:pPr>
        <w:rPr>
          <w:rFonts w:ascii="仿宋_GB2312" w:eastAsia="仿宋_GB2312"/>
          <w:sz w:val="32"/>
          <w:szCs w:val="32"/>
        </w:rPr>
      </w:pPr>
      <w:r>
        <w:rPr>
          <w:rFonts w:hint="eastAsia" w:ascii="仿宋_GB2312" w:eastAsia="仿宋_GB2312"/>
          <w:sz w:val="32"/>
          <w:szCs w:val="32"/>
        </w:rPr>
        <w:br w:type="page"/>
      </w:r>
    </w:p>
    <w:p w14:paraId="3E316ECF">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974D7F7">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28DCD42">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木垒哈萨克自治县博物馆开展文物研究，弘扬民族文化，文物保护和方法研究，文物档案资料管理与研究，文物展览、文物宣传。</w:t>
      </w:r>
    </w:p>
    <w:p w14:paraId="75085575">
      <w:pPr>
        <w:ind w:firstLine="640" w:firstLineChars="200"/>
        <w:rPr>
          <w:rFonts w:ascii="仿宋_GB2312" w:eastAsia="仿宋_GB2312"/>
          <w:sz w:val="32"/>
          <w:szCs w:val="32"/>
        </w:rPr>
      </w:pPr>
      <w:r>
        <w:rPr>
          <w:rFonts w:hint="eastAsia" w:ascii="仿宋_GB2312" w:eastAsia="仿宋_GB2312"/>
          <w:sz w:val="32"/>
          <w:szCs w:val="32"/>
        </w:rPr>
        <w:t>木垒哈萨克自治县博物馆先后被区、州、县命名为“昌吉州科普教育基地</w:t>
      </w:r>
      <w:r>
        <w:rPr>
          <w:rFonts w:hint="eastAsia" w:ascii="仿宋_GB2312" w:eastAsia="仿宋_GB2312"/>
          <w:sz w:val="32"/>
          <w:szCs w:val="32"/>
          <w:lang w:eastAsia="zh-CN"/>
        </w:rPr>
        <w:t>”“</w:t>
      </w:r>
      <w:r>
        <w:rPr>
          <w:rFonts w:hint="eastAsia" w:ascii="仿宋_GB2312" w:eastAsia="仿宋_GB2312"/>
          <w:sz w:val="32"/>
          <w:szCs w:val="32"/>
        </w:rPr>
        <w:t>昌吉州爱国主义教育基地</w:t>
      </w:r>
      <w:r>
        <w:rPr>
          <w:rFonts w:hint="eastAsia" w:ascii="仿宋_GB2312" w:eastAsia="仿宋_GB2312"/>
          <w:sz w:val="32"/>
          <w:szCs w:val="32"/>
          <w:lang w:eastAsia="zh-CN"/>
        </w:rPr>
        <w:t>”“</w:t>
      </w:r>
      <w:r>
        <w:rPr>
          <w:rFonts w:hint="eastAsia" w:ascii="仿宋_GB2312" w:eastAsia="仿宋_GB2312"/>
          <w:sz w:val="32"/>
          <w:szCs w:val="32"/>
        </w:rPr>
        <w:t>昌吉州青少年爱国主义教育基地</w:t>
      </w:r>
      <w:r>
        <w:rPr>
          <w:rFonts w:hint="eastAsia" w:ascii="仿宋_GB2312" w:eastAsia="仿宋_GB2312"/>
          <w:sz w:val="32"/>
          <w:szCs w:val="32"/>
          <w:lang w:eastAsia="zh-CN"/>
        </w:rPr>
        <w:t>”“</w:t>
      </w:r>
      <w:r>
        <w:rPr>
          <w:rFonts w:hint="eastAsia" w:ascii="仿宋_GB2312" w:eastAsia="仿宋_GB2312"/>
          <w:sz w:val="32"/>
          <w:szCs w:val="32"/>
        </w:rPr>
        <w:t>自治州国防教育基地</w:t>
      </w:r>
      <w:r>
        <w:rPr>
          <w:rFonts w:hint="eastAsia" w:ascii="仿宋_GB2312" w:eastAsia="仿宋_GB2312"/>
          <w:sz w:val="32"/>
          <w:szCs w:val="32"/>
          <w:lang w:eastAsia="zh-CN"/>
        </w:rPr>
        <w:t>”“木垒哈萨克自治县</w:t>
      </w:r>
      <w:r>
        <w:rPr>
          <w:rFonts w:hint="eastAsia" w:ascii="仿宋_GB2312" w:eastAsia="仿宋_GB2312"/>
          <w:sz w:val="32"/>
          <w:szCs w:val="32"/>
        </w:rPr>
        <w:t>反邪教警示教育基地</w:t>
      </w:r>
      <w:r>
        <w:rPr>
          <w:rFonts w:hint="eastAsia" w:ascii="仿宋_GB2312" w:eastAsia="仿宋_GB2312"/>
          <w:sz w:val="32"/>
          <w:szCs w:val="32"/>
          <w:lang w:eastAsia="zh-CN"/>
        </w:rPr>
        <w:t>”“木垒哈萨克自治县</w:t>
      </w:r>
      <w:r>
        <w:rPr>
          <w:rFonts w:hint="eastAsia" w:ascii="仿宋_GB2312" w:eastAsia="仿宋_GB2312"/>
          <w:sz w:val="32"/>
          <w:szCs w:val="32"/>
        </w:rPr>
        <w:t>廉政教育基地</w:t>
      </w:r>
      <w:r>
        <w:rPr>
          <w:rFonts w:hint="eastAsia" w:ascii="仿宋_GB2312" w:eastAsia="仿宋_GB2312"/>
          <w:sz w:val="32"/>
          <w:szCs w:val="32"/>
          <w:lang w:eastAsia="zh-CN"/>
        </w:rPr>
        <w:t>”“木垒哈萨克自治县</w:t>
      </w:r>
      <w:r>
        <w:rPr>
          <w:rFonts w:hint="eastAsia" w:ascii="仿宋_GB2312" w:eastAsia="仿宋_GB2312"/>
          <w:sz w:val="32"/>
          <w:szCs w:val="32"/>
        </w:rPr>
        <w:t>民族团结进步教育基地”。</w:t>
      </w:r>
    </w:p>
    <w:p w14:paraId="5BC36CB4">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32E1153">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木垒哈萨克自治县博物馆2023年度，实有人数</w:t>
      </w:r>
      <w:r>
        <w:rPr>
          <w:rFonts w:hint="eastAsia" w:ascii="仿宋_GB2312" w:eastAsia="仿宋_GB2312"/>
          <w:sz w:val="32"/>
          <w:szCs w:val="32"/>
          <w:lang w:val="zh-CN"/>
        </w:rPr>
        <w:t>22</w:t>
      </w:r>
      <w:r>
        <w:rPr>
          <w:rFonts w:hint="eastAsia" w:ascii="仿宋_GB2312" w:eastAsia="仿宋_GB2312"/>
          <w:sz w:val="32"/>
          <w:szCs w:val="32"/>
        </w:rPr>
        <w:t>人，其中：在职人员</w:t>
      </w:r>
      <w:r>
        <w:rPr>
          <w:rFonts w:hint="eastAsia" w:ascii="仿宋_GB2312" w:eastAsia="仿宋_GB2312"/>
          <w:sz w:val="32"/>
          <w:szCs w:val="32"/>
          <w:lang w:val="zh-CN"/>
        </w:rPr>
        <w:t>11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11</w:t>
      </w:r>
      <w:r>
        <w:rPr>
          <w:rFonts w:hint="eastAsia" w:ascii="仿宋_GB2312" w:eastAsia="仿宋_GB2312"/>
          <w:sz w:val="32"/>
          <w:szCs w:val="32"/>
        </w:rPr>
        <w:t>人。</w:t>
      </w:r>
    </w:p>
    <w:p w14:paraId="495B987C">
      <w:pPr>
        <w:ind w:firstLine="640" w:firstLineChars="200"/>
        <w:rPr>
          <w:kern w:val="0"/>
          <w:sz w:val="24"/>
          <w:rtl/>
          <w:lang w:val="zh-CN" w:bidi="zh-CN"/>
        </w:rPr>
      </w:pPr>
      <w:r>
        <w:rPr>
          <w:rFonts w:hint="eastAsia" w:ascii="仿宋_GB2312" w:hAnsi="黑体" w:eastAsia="仿宋_GB2312" w:cs="宋体"/>
          <w:bCs/>
          <w:kern w:val="0"/>
          <w:sz w:val="32"/>
          <w:szCs w:val="32"/>
        </w:rPr>
        <w:t>单位无下属预算单位，</w:t>
      </w:r>
      <w:r>
        <w:rPr>
          <w:rFonts w:hint="eastAsia" w:ascii="仿宋_GB2312" w:eastAsia="仿宋_GB2312" w:cs="仿宋_GB2312"/>
          <w:kern w:val="0"/>
          <w:sz w:val="32"/>
          <w:szCs w:val="32"/>
          <w:lang w:val="zh-CN"/>
        </w:rPr>
        <w:t>下设</w:t>
      </w:r>
      <w:r>
        <w:rPr>
          <w:rFonts w:hint="eastAsia" w:ascii="仿宋_GB2312" w:eastAsia="仿宋_GB2312" w:cs="仿宋_GB2312"/>
          <w:kern w:val="0"/>
          <w:sz w:val="32"/>
          <w:szCs w:val="32"/>
        </w:rPr>
        <w:t>2</w:t>
      </w:r>
      <w:r>
        <w:rPr>
          <w:rFonts w:hint="eastAsia" w:ascii="仿宋_GB2312" w:eastAsia="仿宋_GB2312" w:cs="仿宋_GB2312"/>
          <w:kern w:val="0"/>
          <w:sz w:val="32"/>
          <w:szCs w:val="32"/>
          <w:lang w:val="zh-CN"/>
        </w:rPr>
        <w:t>个科室，</w:t>
      </w:r>
      <w:r>
        <w:rPr>
          <w:rFonts w:hint="eastAsia" w:ascii="仿宋_GB2312" w:eastAsia="仿宋_GB2312" w:cs="仿宋_GB2312"/>
          <w:kern w:val="0"/>
          <w:sz w:val="32"/>
          <w:szCs w:val="32"/>
        </w:rPr>
        <w:t>分别是：办公室、陈列保管室。</w:t>
      </w:r>
    </w:p>
    <w:p w14:paraId="10044937">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3FF9252C">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5413DCFA">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911546A">
      <w:pPr>
        <w:ind w:firstLine="640" w:firstLineChars="200"/>
        <w:jc w:val="left"/>
        <w:rPr>
          <w:rFonts w:ascii="仿宋_GB2312" w:eastAsia="仿宋_GB2312"/>
          <w:sz w:val="32"/>
          <w:szCs w:val="32"/>
        </w:rPr>
      </w:pPr>
      <w:r>
        <w:rPr>
          <w:rFonts w:hint="eastAsia" w:ascii="仿宋_GB2312" w:eastAsia="仿宋_GB2312"/>
          <w:sz w:val="32"/>
          <w:szCs w:val="32"/>
        </w:rPr>
        <w:t>2023年度收入总计625.67万元，其中：本年收入合计625.67万元，使用非财政拨款结余0.00万元，年初结转和结余0.00万元。</w:t>
      </w:r>
    </w:p>
    <w:p w14:paraId="48E02812">
      <w:pPr>
        <w:ind w:firstLine="640" w:firstLineChars="200"/>
        <w:jc w:val="left"/>
        <w:rPr>
          <w:rFonts w:ascii="仿宋_GB2312" w:eastAsia="仿宋_GB2312"/>
          <w:sz w:val="32"/>
          <w:szCs w:val="32"/>
        </w:rPr>
      </w:pPr>
      <w:r>
        <w:rPr>
          <w:rFonts w:hint="eastAsia" w:ascii="仿宋_GB2312" w:eastAsia="仿宋_GB2312"/>
          <w:sz w:val="32"/>
          <w:szCs w:val="32"/>
        </w:rPr>
        <w:t>2023年度支出总计625.67万元，其中：本年支出合计625.65万元，结余分配0.00万元，年末结转和结余0.02万元。</w:t>
      </w:r>
    </w:p>
    <w:p w14:paraId="5A6E11E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增加38.52万元</w:t>
      </w:r>
      <w:r>
        <w:rPr>
          <w:rFonts w:hint="eastAsia" w:ascii="仿宋_GB2312" w:eastAsia="仿宋_GB2312"/>
          <w:sz w:val="32"/>
          <w:szCs w:val="32"/>
        </w:rPr>
        <w:t>，增长6.56%，主要原因是：本年</w:t>
      </w:r>
      <w:r>
        <w:rPr>
          <w:rFonts w:hint="eastAsia" w:ascii="仿宋_GB2312" w:eastAsia="仿宋_GB2312"/>
          <w:sz w:val="32"/>
          <w:szCs w:val="32"/>
          <w:lang w:val="zh-CN"/>
        </w:rPr>
        <w:t>木垒县博物馆装修</w:t>
      </w:r>
      <w:r>
        <w:rPr>
          <w:rFonts w:hint="eastAsia" w:ascii="仿宋_GB2312" w:eastAsia="仿宋_GB2312"/>
          <w:sz w:val="32"/>
          <w:szCs w:val="32"/>
          <w:lang w:val="en-US" w:eastAsia="zh-CN"/>
        </w:rPr>
        <w:t>修缮</w:t>
      </w:r>
      <w:r>
        <w:rPr>
          <w:rFonts w:hint="eastAsia" w:ascii="仿宋_GB2312" w:eastAsia="仿宋_GB2312"/>
          <w:sz w:val="32"/>
          <w:szCs w:val="32"/>
          <w:lang w:val="zh-CN"/>
        </w:rPr>
        <w:t>工程</w:t>
      </w:r>
      <w:r>
        <w:rPr>
          <w:rFonts w:hint="eastAsia" w:ascii="仿宋_GB2312" w:eastAsia="仿宋_GB2312"/>
          <w:sz w:val="32"/>
          <w:szCs w:val="32"/>
          <w:lang w:val="en-US" w:eastAsia="zh-CN"/>
        </w:rPr>
        <w:t>项目</w:t>
      </w:r>
      <w:r>
        <w:rPr>
          <w:rFonts w:hint="eastAsia" w:ascii="仿宋_GB2312" w:eastAsia="仿宋_GB2312"/>
          <w:sz w:val="32"/>
          <w:szCs w:val="32"/>
          <w:lang w:val="zh-CN"/>
        </w:rPr>
        <w:t>费用</w:t>
      </w:r>
      <w:r>
        <w:rPr>
          <w:rFonts w:hint="eastAsia" w:ascii="仿宋_GB2312" w:eastAsia="仿宋_GB2312"/>
          <w:sz w:val="32"/>
          <w:szCs w:val="32"/>
        </w:rPr>
        <w:t>增加</w:t>
      </w:r>
      <w:r>
        <w:rPr>
          <w:rFonts w:hint="eastAsia" w:ascii="仿宋_GB2312" w:eastAsia="仿宋_GB2312"/>
          <w:sz w:val="32"/>
          <w:szCs w:val="32"/>
          <w:lang w:val="zh-CN"/>
        </w:rPr>
        <w:t>。</w:t>
      </w:r>
    </w:p>
    <w:p w14:paraId="4BB1C32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D9983A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收入625.67万元，其中：财政拨款收入625.65万元，占100.00%；上级补助收入0.00万元，占0.00%；事业收入0.00万元，占0.00%；经营收入0.00万元，占0.00%；附属单位上缴收入0.00万元，占0.00%；其他收入0.02万元，占0.00%。</w:t>
      </w:r>
    </w:p>
    <w:p w14:paraId="055C12CF">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84A35C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本年支出625.65万元，其中：基本支出187.77万元，占30.01%；项目支出437.88万元，占69.99%；上缴上级支出0.00万元，占0.00%；经营支出0.00万元，占0.00%；对附属单位补助支出0.00万元，占0.00%。</w:t>
      </w:r>
    </w:p>
    <w:p w14:paraId="11FE4EC4">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4207A8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625.65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625.65</w:t>
      </w:r>
      <w:r>
        <w:rPr>
          <w:rFonts w:hint="eastAsia" w:ascii="仿宋_GB2312" w:eastAsia="仿宋_GB2312"/>
          <w:sz w:val="32"/>
          <w:szCs w:val="32"/>
        </w:rPr>
        <w:t>万元。财政拨款支出总计</w:t>
      </w:r>
      <w:r>
        <w:rPr>
          <w:rFonts w:hint="eastAsia" w:ascii="仿宋_GB2312" w:eastAsia="仿宋_GB2312"/>
          <w:sz w:val="32"/>
          <w:szCs w:val="32"/>
          <w:lang w:val="zh-CN"/>
        </w:rPr>
        <w:t>625.65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625.65</w:t>
      </w:r>
      <w:r>
        <w:rPr>
          <w:rFonts w:hint="eastAsia" w:ascii="仿宋_GB2312" w:eastAsia="仿宋_GB2312"/>
          <w:sz w:val="32"/>
          <w:szCs w:val="32"/>
        </w:rPr>
        <w:t>万元。</w:t>
      </w:r>
    </w:p>
    <w:p w14:paraId="4D08CE1A">
      <w:pPr>
        <w:ind w:firstLine="640" w:firstLineChars="200"/>
        <w:jc w:val="left"/>
        <w:rPr>
          <w:rFonts w:ascii="仿宋_GB2312" w:eastAsia="仿宋_GB2312"/>
          <w:sz w:val="32"/>
          <w:szCs w:val="32"/>
          <w:lang w:val="zh-CN"/>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增加38.50万元</w:t>
      </w:r>
      <w:r>
        <w:rPr>
          <w:rFonts w:hint="eastAsia" w:ascii="仿宋_GB2312" w:eastAsia="仿宋_GB2312"/>
          <w:sz w:val="32"/>
          <w:szCs w:val="32"/>
        </w:rPr>
        <w:t>，增长6.56%,主要原因是：本年</w:t>
      </w:r>
      <w:r>
        <w:rPr>
          <w:rFonts w:hint="eastAsia" w:ascii="仿宋_GB2312" w:eastAsia="仿宋_GB2312"/>
          <w:sz w:val="32"/>
          <w:szCs w:val="32"/>
          <w:lang w:val="zh-CN"/>
        </w:rPr>
        <w:t>木垒县博物馆装修</w:t>
      </w:r>
      <w:r>
        <w:rPr>
          <w:rFonts w:hint="eastAsia" w:ascii="仿宋_GB2312" w:eastAsia="仿宋_GB2312"/>
          <w:sz w:val="32"/>
          <w:szCs w:val="32"/>
          <w:lang w:val="en-US" w:eastAsia="zh-CN"/>
        </w:rPr>
        <w:t>修缮</w:t>
      </w:r>
      <w:r>
        <w:rPr>
          <w:rFonts w:hint="eastAsia" w:ascii="仿宋_GB2312" w:eastAsia="仿宋_GB2312"/>
          <w:sz w:val="32"/>
          <w:szCs w:val="32"/>
          <w:lang w:val="zh-CN"/>
        </w:rPr>
        <w:t>工程</w:t>
      </w:r>
      <w:r>
        <w:rPr>
          <w:rFonts w:hint="eastAsia" w:ascii="仿宋_GB2312" w:eastAsia="仿宋_GB2312"/>
          <w:sz w:val="32"/>
          <w:szCs w:val="32"/>
          <w:lang w:val="en-US" w:eastAsia="zh-CN"/>
        </w:rPr>
        <w:t>项目</w:t>
      </w:r>
      <w:r>
        <w:rPr>
          <w:rFonts w:hint="eastAsia" w:ascii="仿宋_GB2312" w:eastAsia="仿宋_GB2312"/>
          <w:sz w:val="32"/>
          <w:szCs w:val="32"/>
          <w:lang w:val="zh-CN"/>
        </w:rPr>
        <w:t>费用</w:t>
      </w:r>
      <w:r>
        <w:rPr>
          <w:rFonts w:hint="eastAsia" w:ascii="仿宋_GB2312" w:eastAsia="仿宋_GB2312"/>
          <w:sz w:val="32"/>
          <w:szCs w:val="32"/>
        </w:rPr>
        <w:t>增加</w:t>
      </w:r>
      <w:r>
        <w:rPr>
          <w:rFonts w:hint="eastAsia" w:ascii="仿宋_GB2312" w:eastAsia="仿宋_GB2312"/>
          <w:sz w:val="32"/>
          <w:szCs w:val="32"/>
          <w:lang w:val="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206.43</w:t>
      </w:r>
      <w:r>
        <w:rPr>
          <w:rFonts w:hint="eastAsia" w:ascii="仿宋_GB2312" w:eastAsia="仿宋_GB2312"/>
          <w:sz w:val="32"/>
          <w:szCs w:val="32"/>
        </w:rPr>
        <w:t>万元，决算数</w:t>
      </w:r>
      <w:r>
        <w:rPr>
          <w:rFonts w:hint="eastAsia" w:ascii="仿宋_GB2312" w:eastAsia="仿宋_GB2312"/>
          <w:sz w:val="32"/>
          <w:szCs w:val="32"/>
          <w:lang w:val="zh-CN"/>
        </w:rPr>
        <w:t>625.65</w:t>
      </w:r>
      <w:r>
        <w:rPr>
          <w:rFonts w:hint="eastAsia" w:ascii="仿宋_GB2312" w:eastAsia="仿宋_GB2312"/>
          <w:sz w:val="32"/>
          <w:szCs w:val="32"/>
        </w:rPr>
        <w:t>万元，预决算差异率203.08%，主要原因是：年中追加</w:t>
      </w:r>
      <w:r>
        <w:rPr>
          <w:rFonts w:hint="eastAsia" w:ascii="仿宋_GB2312" w:eastAsia="仿宋_GB2312"/>
          <w:sz w:val="32"/>
          <w:szCs w:val="32"/>
          <w:lang w:val="zh-CN"/>
        </w:rPr>
        <w:t>木垒县博物馆装修</w:t>
      </w:r>
      <w:r>
        <w:rPr>
          <w:rFonts w:hint="eastAsia" w:ascii="仿宋_GB2312" w:eastAsia="仿宋_GB2312"/>
          <w:sz w:val="32"/>
          <w:szCs w:val="32"/>
          <w:lang w:val="en-US" w:eastAsia="zh-CN"/>
        </w:rPr>
        <w:t>修缮</w:t>
      </w:r>
      <w:r>
        <w:rPr>
          <w:rFonts w:hint="eastAsia" w:ascii="仿宋_GB2312" w:eastAsia="仿宋_GB2312"/>
          <w:sz w:val="32"/>
          <w:szCs w:val="32"/>
          <w:lang w:val="zh-CN"/>
        </w:rPr>
        <w:t>工程</w:t>
      </w:r>
      <w:r>
        <w:rPr>
          <w:rFonts w:hint="eastAsia" w:ascii="仿宋_GB2312" w:eastAsia="仿宋_GB2312"/>
          <w:sz w:val="32"/>
          <w:szCs w:val="32"/>
          <w:lang w:val="en-US" w:eastAsia="zh-CN"/>
        </w:rPr>
        <w:t>项目</w:t>
      </w:r>
      <w:r>
        <w:rPr>
          <w:rFonts w:hint="eastAsia" w:ascii="仿宋_GB2312" w:eastAsia="仿宋_GB2312"/>
          <w:sz w:val="32"/>
          <w:szCs w:val="32"/>
          <w:lang w:val="zh-CN"/>
        </w:rPr>
        <w:t>费用。</w:t>
      </w:r>
    </w:p>
    <w:p w14:paraId="65D7A578">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CF3C74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F300093">
      <w:pPr>
        <w:ind w:firstLine="640" w:firstLineChars="200"/>
        <w:jc w:val="left"/>
        <w:rPr>
          <w:rFonts w:ascii="仿宋_GB2312" w:eastAsia="仿宋_GB2312"/>
          <w:sz w:val="32"/>
          <w:szCs w:val="32"/>
          <w:lang w:val="zh-CN"/>
        </w:rPr>
      </w:pPr>
      <w:r>
        <w:rPr>
          <w:rFonts w:hint="eastAsia" w:ascii="仿宋_GB2312" w:eastAsia="仿宋_GB2312"/>
          <w:sz w:val="32"/>
          <w:szCs w:val="32"/>
        </w:rPr>
        <w:t>2023年度一般公共预算财政拨款支出625.65万元，占本年支出合计的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增加38.50万元</w:t>
      </w:r>
      <w:r>
        <w:rPr>
          <w:rFonts w:hint="eastAsia" w:ascii="仿宋_GB2312" w:eastAsia="仿宋_GB2312"/>
          <w:sz w:val="32"/>
          <w:szCs w:val="32"/>
        </w:rPr>
        <w:t>，增长6.56%,主要原因是：本年</w:t>
      </w:r>
      <w:r>
        <w:rPr>
          <w:rFonts w:hint="eastAsia" w:ascii="仿宋_GB2312" w:eastAsia="仿宋_GB2312"/>
          <w:sz w:val="32"/>
          <w:szCs w:val="32"/>
          <w:lang w:val="zh-CN"/>
        </w:rPr>
        <w:t>木垒县博物馆装修</w:t>
      </w:r>
      <w:r>
        <w:rPr>
          <w:rFonts w:hint="eastAsia" w:ascii="仿宋_GB2312" w:eastAsia="仿宋_GB2312"/>
          <w:sz w:val="32"/>
          <w:szCs w:val="32"/>
          <w:lang w:val="en-US" w:eastAsia="zh-CN"/>
        </w:rPr>
        <w:t>修缮</w:t>
      </w:r>
      <w:r>
        <w:rPr>
          <w:rFonts w:hint="eastAsia" w:ascii="仿宋_GB2312" w:eastAsia="仿宋_GB2312"/>
          <w:sz w:val="32"/>
          <w:szCs w:val="32"/>
          <w:lang w:val="zh-CN"/>
        </w:rPr>
        <w:t>工程</w:t>
      </w:r>
      <w:r>
        <w:rPr>
          <w:rFonts w:hint="eastAsia" w:ascii="仿宋_GB2312" w:eastAsia="仿宋_GB2312"/>
          <w:sz w:val="32"/>
          <w:szCs w:val="32"/>
          <w:lang w:val="en-US" w:eastAsia="zh-CN"/>
        </w:rPr>
        <w:t>项目</w:t>
      </w:r>
      <w:r>
        <w:rPr>
          <w:rFonts w:hint="eastAsia" w:ascii="仿宋_GB2312" w:eastAsia="仿宋_GB2312"/>
          <w:sz w:val="32"/>
          <w:szCs w:val="32"/>
          <w:lang w:val="zh-CN"/>
        </w:rPr>
        <w:t>费用</w:t>
      </w:r>
      <w:r>
        <w:rPr>
          <w:rFonts w:hint="eastAsia" w:ascii="仿宋_GB2312" w:eastAsia="仿宋_GB2312"/>
          <w:sz w:val="32"/>
          <w:szCs w:val="32"/>
        </w:rPr>
        <w:t>增加</w:t>
      </w:r>
      <w:r>
        <w:rPr>
          <w:rFonts w:hint="eastAsia" w:ascii="仿宋_GB2312" w:eastAsia="仿宋_GB2312"/>
          <w:sz w:val="32"/>
          <w:szCs w:val="32"/>
          <w:lang w:val="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206.43</w:t>
      </w:r>
      <w:r>
        <w:rPr>
          <w:rFonts w:hint="eastAsia" w:ascii="仿宋_GB2312" w:eastAsia="仿宋_GB2312"/>
          <w:sz w:val="32"/>
          <w:szCs w:val="32"/>
        </w:rPr>
        <w:t>万元，决算数</w:t>
      </w:r>
      <w:r>
        <w:rPr>
          <w:rFonts w:hint="eastAsia" w:ascii="仿宋_GB2312" w:eastAsia="仿宋_GB2312"/>
          <w:sz w:val="32"/>
          <w:szCs w:val="32"/>
          <w:lang w:val="zh-CN"/>
        </w:rPr>
        <w:t>625.65</w:t>
      </w:r>
      <w:r>
        <w:rPr>
          <w:rFonts w:hint="eastAsia" w:ascii="仿宋_GB2312" w:eastAsia="仿宋_GB2312"/>
          <w:sz w:val="32"/>
          <w:szCs w:val="32"/>
        </w:rPr>
        <w:t>万元，预决算差异率</w:t>
      </w:r>
      <w:r>
        <w:rPr>
          <w:rFonts w:hint="eastAsia" w:ascii="仿宋_GB2312" w:eastAsia="仿宋_GB2312"/>
          <w:sz w:val="32"/>
          <w:szCs w:val="32"/>
          <w:lang w:val="zh-CN"/>
        </w:rPr>
        <w:t>203.08%</w:t>
      </w:r>
      <w:r>
        <w:rPr>
          <w:rFonts w:hint="eastAsia" w:ascii="仿宋_GB2312" w:eastAsia="仿宋_GB2312"/>
          <w:sz w:val="32"/>
          <w:szCs w:val="32"/>
        </w:rPr>
        <w:t>，主要原因是：年中追加</w:t>
      </w:r>
      <w:r>
        <w:rPr>
          <w:rFonts w:hint="eastAsia" w:ascii="仿宋_GB2312" w:eastAsia="仿宋_GB2312"/>
          <w:sz w:val="32"/>
          <w:szCs w:val="32"/>
          <w:lang w:val="zh-CN"/>
        </w:rPr>
        <w:t>木垒县博物馆装修</w:t>
      </w:r>
      <w:r>
        <w:rPr>
          <w:rFonts w:hint="eastAsia" w:ascii="仿宋_GB2312" w:eastAsia="仿宋_GB2312"/>
          <w:sz w:val="32"/>
          <w:szCs w:val="32"/>
          <w:lang w:val="en-US" w:eastAsia="zh-CN"/>
        </w:rPr>
        <w:t>修缮</w:t>
      </w:r>
      <w:r>
        <w:rPr>
          <w:rFonts w:hint="eastAsia" w:ascii="仿宋_GB2312" w:eastAsia="仿宋_GB2312"/>
          <w:sz w:val="32"/>
          <w:szCs w:val="32"/>
          <w:lang w:val="zh-CN"/>
        </w:rPr>
        <w:t>工程</w:t>
      </w:r>
      <w:r>
        <w:rPr>
          <w:rFonts w:hint="eastAsia" w:ascii="仿宋_GB2312" w:eastAsia="仿宋_GB2312"/>
          <w:sz w:val="32"/>
          <w:szCs w:val="32"/>
          <w:lang w:val="en-US" w:eastAsia="zh-CN"/>
        </w:rPr>
        <w:t>项目</w:t>
      </w:r>
      <w:r>
        <w:rPr>
          <w:rFonts w:hint="eastAsia" w:ascii="仿宋_GB2312" w:eastAsia="仿宋_GB2312"/>
          <w:sz w:val="32"/>
          <w:szCs w:val="32"/>
          <w:lang w:val="zh-CN"/>
        </w:rPr>
        <w:t>费用。</w:t>
      </w:r>
    </w:p>
    <w:p w14:paraId="7F92D9D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FBB460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614.84</w:t>
      </w:r>
      <w:r>
        <w:rPr>
          <w:rFonts w:ascii="仿宋_GB2312" w:eastAsia="仿宋_GB2312"/>
          <w:kern w:val="2"/>
          <w:sz w:val="32"/>
          <w:szCs w:val="32"/>
          <w:lang w:val="zh-CN"/>
        </w:rPr>
        <w:t>万元，占</w:t>
      </w:r>
      <w:r>
        <w:rPr>
          <w:rFonts w:hint="eastAsia" w:ascii="仿宋_GB2312" w:eastAsia="仿宋_GB2312"/>
          <w:kern w:val="2"/>
          <w:sz w:val="32"/>
          <w:szCs w:val="32"/>
          <w:lang w:val="zh-CN"/>
        </w:rPr>
        <w:t>98.27</w:t>
      </w:r>
      <w:r>
        <w:rPr>
          <w:rFonts w:ascii="仿宋_GB2312" w:eastAsia="仿宋_GB2312"/>
          <w:kern w:val="2"/>
          <w:sz w:val="32"/>
          <w:szCs w:val="32"/>
          <w:lang w:val="zh-CN"/>
        </w:rPr>
        <w:t>%；</w:t>
      </w:r>
    </w:p>
    <w:p w14:paraId="0E79397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10.81</w:t>
      </w:r>
      <w:r>
        <w:rPr>
          <w:rFonts w:ascii="仿宋_GB2312" w:eastAsia="仿宋_GB2312"/>
          <w:kern w:val="2"/>
          <w:sz w:val="32"/>
          <w:szCs w:val="32"/>
          <w:lang w:val="zh-CN"/>
        </w:rPr>
        <w:t>万元，占</w:t>
      </w:r>
      <w:r>
        <w:rPr>
          <w:rFonts w:hint="eastAsia" w:ascii="仿宋_GB2312" w:eastAsia="仿宋_GB2312"/>
          <w:kern w:val="2"/>
          <w:sz w:val="32"/>
          <w:szCs w:val="32"/>
          <w:lang w:val="zh-CN"/>
        </w:rPr>
        <w:t>1.73</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B9DED9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4B144AD">
      <w:pPr>
        <w:ind w:firstLine="640" w:firstLineChars="200"/>
        <w:jc w:val="left"/>
        <w:rPr>
          <w:rFonts w:ascii="仿宋_GB2312" w:eastAsia="仿宋_GB2312"/>
          <w:sz w:val="32"/>
          <w:szCs w:val="32"/>
          <w:lang w:val="zh-CN"/>
        </w:rPr>
      </w:pPr>
      <w:r>
        <w:rPr>
          <w:rFonts w:hint="eastAsia" w:ascii="仿宋_GB2312" w:eastAsia="仿宋_GB2312"/>
          <w:sz w:val="32"/>
          <w:szCs w:val="32"/>
        </w:rPr>
        <w:t>1.文化旅游体育与传媒支出（类）文物（款）行政运行（项）:支出决算数为176.96万元，比上年决算增加49.12万元，增长38.42%，主要原因是：</w:t>
      </w:r>
      <w:r>
        <w:rPr>
          <w:rFonts w:hint="eastAsia" w:ascii="仿宋_GB2312" w:eastAsia="仿宋_GB2312"/>
          <w:sz w:val="32"/>
          <w:szCs w:val="32"/>
          <w:lang w:val="zh-CN"/>
        </w:rPr>
        <w:t>单位本年人员</w:t>
      </w:r>
      <w:r>
        <w:rPr>
          <w:rFonts w:hint="eastAsia" w:ascii="仿宋_GB2312" w:eastAsia="仿宋_GB2312"/>
          <w:sz w:val="32"/>
          <w:szCs w:val="32"/>
        </w:rPr>
        <w:t>增加</w:t>
      </w:r>
      <w:r>
        <w:rPr>
          <w:rFonts w:hint="eastAsia" w:ascii="仿宋_GB2312" w:eastAsia="仿宋_GB2312"/>
          <w:sz w:val="32"/>
          <w:szCs w:val="32"/>
          <w:lang w:val="zh-CN"/>
        </w:rPr>
        <w:t>，相应工资、津贴补贴、奖金增加。</w:t>
      </w:r>
    </w:p>
    <w:p w14:paraId="2FA473DF">
      <w:pPr>
        <w:ind w:firstLine="640" w:firstLineChars="200"/>
        <w:jc w:val="left"/>
        <w:rPr>
          <w:rFonts w:ascii="仿宋_GB2312" w:eastAsia="仿宋_GB2312"/>
          <w:sz w:val="32"/>
          <w:szCs w:val="32"/>
          <w:lang w:val="zh-CN"/>
        </w:rPr>
      </w:pPr>
      <w:r>
        <w:rPr>
          <w:rFonts w:hint="eastAsia" w:ascii="仿宋_GB2312" w:eastAsia="仿宋_GB2312"/>
          <w:sz w:val="32"/>
          <w:szCs w:val="32"/>
        </w:rPr>
        <w:t>2.文化旅游体育与传媒支出（类）文物（款）文物保护（项）:支出决算数为85.73万元，比上年决算减少115.7</w:t>
      </w:r>
      <w:r>
        <w:rPr>
          <w:rFonts w:hint="eastAsia" w:ascii="仿宋_GB2312" w:eastAsia="仿宋_GB2312"/>
          <w:sz w:val="32"/>
          <w:szCs w:val="32"/>
          <w:lang w:val="en-US" w:eastAsia="zh-CN"/>
        </w:rPr>
        <w:t>2</w:t>
      </w:r>
      <w:r>
        <w:rPr>
          <w:rFonts w:hint="eastAsia" w:ascii="仿宋_GB2312" w:eastAsia="仿宋_GB2312"/>
          <w:sz w:val="32"/>
          <w:szCs w:val="32"/>
        </w:rPr>
        <w:t>万元，下降57.4</w:t>
      </w:r>
      <w:r>
        <w:rPr>
          <w:rFonts w:hint="eastAsia" w:ascii="仿宋_GB2312" w:eastAsia="仿宋_GB2312"/>
          <w:sz w:val="32"/>
          <w:szCs w:val="32"/>
          <w:lang w:val="en-US" w:eastAsia="zh-CN"/>
        </w:rPr>
        <w:t>4</w:t>
      </w:r>
      <w:r>
        <w:rPr>
          <w:rFonts w:hint="eastAsia" w:ascii="仿宋_GB2312" w:eastAsia="仿宋_GB2312"/>
          <w:sz w:val="32"/>
          <w:szCs w:val="32"/>
        </w:rPr>
        <w:t>%，主要原因是：单位本年</w:t>
      </w:r>
      <w:r>
        <w:rPr>
          <w:rFonts w:hint="eastAsia" w:ascii="仿宋_GB2312" w:eastAsia="仿宋_GB2312"/>
          <w:sz w:val="32"/>
          <w:szCs w:val="32"/>
          <w:lang w:val="zh-CN"/>
        </w:rPr>
        <w:t>国家文物保护</w:t>
      </w:r>
      <w:r>
        <w:rPr>
          <w:rFonts w:hint="eastAsia" w:ascii="仿宋_GB2312" w:eastAsia="仿宋_GB2312"/>
          <w:sz w:val="32"/>
          <w:szCs w:val="32"/>
          <w:lang w:val="en-US" w:eastAsia="zh-CN"/>
        </w:rPr>
        <w:t>项目</w:t>
      </w:r>
      <w:r>
        <w:rPr>
          <w:rFonts w:hint="eastAsia" w:ascii="仿宋_GB2312" w:eastAsia="仿宋_GB2312"/>
          <w:sz w:val="32"/>
          <w:szCs w:val="32"/>
          <w:lang w:val="zh-CN"/>
        </w:rPr>
        <w:t>资金</w:t>
      </w:r>
      <w:r>
        <w:rPr>
          <w:rFonts w:hint="eastAsia" w:ascii="仿宋_GB2312" w:eastAsia="仿宋_GB2312"/>
          <w:sz w:val="32"/>
          <w:szCs w:val="32"/>
        </w:rPr>
        <w:t>减少</w:t>
      </w:r>
      <w:r>
        <w:rPr>
          <w:rFonts w:hint="eastAsia" w:ascii="仿宋_GB2312" w:eastAsia="仿宋_GB2312"/>
          <w:sz w:val="32"/>
          <w:szCs w:val="32"/>
          <w:lang w:val="zh-CN"/>
        </w:rPr>
        <w:t>。</w:t>
      </w:r>
    </w:p>
    <w:p w14:paraId="52FDEF61">
      <w:pPr>
        <w:ind w:firstLine="640" w:firstLineChars="200"/>
        <w:jc w:val="left"/>
        <w:rPr>
          <w:rFonts w:ascii="仿宋_GB2312" w:eastAsia="仿宋_GB2312"/>
          <w:sz w:val="32"/>
          <w:szCs w:val="32"/>
          <w:lang w:val="zh-CN"/>
        </w:rPr>
      </w:pPr>
      <w:r>
        <w:rPr>
          <w:rFonts w:hint="eastAsia" w:ascii="仿宋_GB2312" w:eastAsia="仿宋_GB2312"/>
          <w:sz w:val="32"/>
          <w:szCs w:val="32"/>
        </w:rPr>
        <w:t>3.社会保障和就业支出（类）行政事业单位养老支出（款）事业单位离退休（项）:支出决算数为3.30万元，比上年决算增加1.87万元，增长13</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7</w:t>
      </w:r>
      <w:r>
        <w:rPr>
          <w:rFonts w:hint="eastAsia" w:ascii="仿宋_GB2312" w:eastAsia="仿宋_GB2312"/>
          <w:sz w:val="32"/>
          <w:szCs w:val="32"/>
        </w:rPr>
        <w:t>7%，主要原因是：本年退休人员增加，退休人员取暖费、交通补助费用增加</w:t>
      </w:r>
      <w:r>
        <w:rPr>
          <w:rFonts w:hint="eastAsia" w:ascii="仿宋_GB2312" w:eastAsia="仿宋_GB2312"/>
          <w:sz w:val="32"/>
          <w:szCs w:val="32"/>
          <w:lang w:val="zh-CN"/>
        </w:rPr>
        <w:t>。</w:t>
      </w:r>
    </w:p>
    <w:p w14:paraId="72D52D02">
      <w:pPr>
        <w:ind w:firstLine="640" w:firstLineChars="200"/>
        <w:rPr>
          <w:rFonts w:ascii="仿宋_GB2312" w:eastAsia="仿宋_GB2312"/>
          <w:sz w:val="32"/>
          <w:szCs w:val="32"/>
          <w:lang w:val="zh-CN"/>
        </w:rPr>
      </w:pPr>
      <w:r>
        <w:rPr>
          <w:rFonts w:hint="eastAsia" w:ascii="仿宋_GB2312" w:eastAsia="仿宋_GB2312"/>
          <w:sz w:val="32"/>
          <w:szCs w:val="32"/>
        </w:rPr>
        <w:t>4.文化旅游体育与传媒支出（类）其他文化旅游体育与传媒支出（款）其他文化旅游体育与传媒支出（项）:支出决算数为2.00万元，比上年决算增加0.00万元，增长0.00%，主要原因是：</w:t>
      </w:r>
      <w:r>
        <w:rPr>
          <w:rFonts w:hint="eastAsia" w:eastAsia="仿宋_GB2312"/>
          <w:sz w:val="32"/>
          <w:szCs w:val="32"/>
        </w:rPr>
        <w:t>与上年对比无差异</w:t>
      </w:r>
      <w:r>
        <w:rPr>
          <w:rFonts w:hint="eastAsia" w:eastAsia="仿宋_GB2312"/>
          <w:sz w:val="32"/>
          <w:szCs w:val="32"/>
          <w:lang w:val="zh-CN"/>
        </w:rPr>
        <w:t>。</w:t>
      </w:r>
    </w:p>
    <w:p w14:paraId="772C9E95">
      <w:pPr>
        <w:ind w:firstLine="640" w:firstLineChars="200"/>
        <w:jc w:val="left"/>
        <w:rPr>
          <w:rFonts w:ascii="仿宋_GB2312" w:eastAsia="仿宋_GB2312"/>
          <w:sz w:val="32"/>
          <w:szCs w:val="32"/>
          <w:lang w:val="zh-CN"/>
        </w:rPr>
      </w:pPr>
      <w:r>
        <w:rPr>
          <w:rFonts w:hint="eastAsia" w:ascii="仿宋_GB2312" w:eastAsia="仿宋_GB2312"/>
          <w:sz w:val="32"/>
          <w:szCs w:val="32"/>
        </w:rPr>
        <w:t>5.文化旅游体育与传媒支出（类）文物（款）博物馆（项）:支出决算数为350.16万元，比上年决算增加120.3</w:t>
      </w:r>
      <w:r>
        <w:rPr>
          <w:rFonts w:hint="eastAsia" w:ascii="仿宋_GB2312" w:eastAsia="仿宋_GB2312"/>
          <w:sz w:val="32"/>
          <w:szCs w:val="32"/>
          <w:lang w:val="en-US" w:eastAsia="zh-CN"/>
        </w:rPr>
        <w:t>2</w:t>
      </w:r>
      <w:r>
        <w:rPr>
          <w:rFonts w:hint="eastAsia" w:ascii="仿宋_GB2312" w:eastAsia="仿宋_GB2312"/>
          <w:sz w:val="32"/>
          <w:szCs w:val="32"/>
        </w:rPr>
        <w:t>万元，增长52.35%，主要原因是：本年</w:t>
      </w:r>
      <w:r>
        <w:rPr>
          <w:rFonts w:hint="eastAsia" w:ascii="仿宋_GB2312" w:eastAsia="仿宋_GB2312"/>
          <w:sz w:val="32"/>
          <w:szCs w:val="32"/>
          <w:lang w:val="zh-CN"/>
        </w:rPr>
        <w:t>木垒县博物馆装修</w:t>
      </w:r>
      <w:r>
        <w:rPr>
          <w:rFonts w:hint="eastAsia" w:ascii="仿宋_GB2312" w:eastAsia="仿宋_GB2312"/>
          <w:sz w:val="32"/>
          <w:szCs w:val="32"/>
          <w:lang w:val="en-US" w:eastAsia="zh-CN"/>
        </w:rPr>
        <w:t>维修</w:t>
      </w:r>
      <w:r>
        <w:rPr>
          <w:rFonts w:hint="eastAsia" w:ascii="仿宋_GB2312" w:eastAsia="仿宋_GB2312"/>
          <w:sz w:val="32"/>
          <w:szCs w:val="32"/>
          <w:lang w:val="zh-CN"/>
        </w:rPr>
        <w:t>工程</w:t>
      </w:r>
      <w:r>
        <w:rPr>
          <w:rFonts w:hint="eastAsia" w:ascii="仿宋_GB2312" w:eastAsia="仿宋_GB2312"/>
          <w:sz w:val="32"/>
          <w:szCs w:val="32"/>
          <w:lang w:val="en-US" w:eastAsia="zh-CN"/>
        </w:rPr>
        <w:t>项目</w:t>
      </w:r>
      <w:r>
        <w:rPr>
          <w:rFonts w:hint="eastAsia" w:ascii="仿宋_GB2312" w:eastAsia="仿宋_GB2312"/>
          <w:sz w:val="32"/>
          <w:szCs w:val="32"/>
          <w:lang w:val="zh-CN"/>
        </w:rPr>
        <w:t>费用</w:t>
      </w:r>
      <w:r>
        <w:rPr>
          <w:rFonts w:hint="eastAsia" w:ascii="仿宋_GB2312" w:eastAsia="仿宋_GB2312"/>
          <w:sz w:val="32"/>
          <w:szCs w:val="32"/>
        </w:rPr>
        <w:t>增加</w:t>
      </w:r>
      <w:r>
        <w:rPr>
          <w:rFonts w:hint="eastAsia" w:ascii="仿宋_GB2312" w:eastAsia="仿宋_GB2312"/>
          <w:sz w:val="32"/>
          <w:szCs w:val="32"/>
          <w:lang w:val="zh-CN"/>
        </w:rPr>
        <w:t>。</w:t>
      </w:r>
    </w:p>
    <w:p w14:paraId="05CCB9E3">
      <w:pPr>
        <w:ind w:firstLine="640" w:firstLineChars="200"/>
        <w:jc w:val="left"/>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6.社会保障和就业支出（类）行政事业单位养老支出（款）机关事业单位职业年金缴费支出（项）:支出决算数为7.51万元，比上年决算增加7.51万元，增长100%，主要原因是：单位本年</w:t>
      </w:r>
      <w:r>
        <w:rPr>
          <w:rFonts w:hint="eastAsia" w:eastAsia="仿宋_GB2312"/>
          <w:sz w:val="32"/>
          <w:szCs w:val="32"/>
        </w:rPr>
        <w:t>退休人员增加，</w:t>
      </w:r>
      <w:r>
        <w:rPr>
          <w:rFonts w:hint="eastAsia" w:ascii="仿宋_GB2312" w:eastAsia="仿宋_GB2312"/>
          <w:sz w:val="32"/>
          <w:szCs w:val="32"/>
        </w:rPr>
        <w:t>职业年金缴费</w:t>
      </w:r>
      <w:r>
        <w:rPr>
          <w:rFonts w:hint="eastAsia" w:eastAsia="仿宋_GB2312"/>
          <w:sz w:val="32"/>
          <w:szCs w:val="32"/>
        </w:rPr>
        <w:t>增加</w:t>
      </w:r>
      <w:r>
        <w:rPr>
          <w:rFonts w:hint="eastAsia" w:ascii="仿宋_GB2312" w:eastAsia="仿宋_GB2312"/>
          <w:sz w:val="32"/>
          <w:szCs w:val="32"/>
          <w:lang w:val="zh-CN"/>
        </w:rPr>
        <w:t>。</w:t>
      </w:r>
    </w:p>
    <w:p w14:paraId="1A03E167">
      <w:pPr>
        <w:ind w:firstLine="640" w:firstLineChars="200"/>
        <w:jc w:val="left"/>
        <w:rPr>
          <w:rFonts w:ascii="仿宋_GB2312" w:eastAsia="仿宋_GB2312"/>
          <w:sz w:val="32"/>
          <w:szCs w:val="32"/>
          <w:lang w:val="zh-CN"/>
        </w:rPr>
      </w:pPr>
      <w:r>
        <w:rPr>
          <w:rFonts w:hint="eastAsia" w:ascii="仿宋_GB2312" w:eastAsia="仿宋_GB2312"/>
          <w:sz w:val="32"/>
          <w:szCs w:val="32"/>
        </w:rPr>
        <w:t>7.住房保障支出（类）住房改革支出（款）住房公积金（项）:支出决算数为0.00万元，比上年决算减少10.74万元，下降100%，主要原因是：</w:t>
      </w:r>
      <w:r>
        <w:rPr>
          <w:rFonts w:hint="eastAsia" w:ascii="仿宋_GB2312" w:eastAsia="仿宋_GB2312"/>
          <w:sz w:val="32"/>
          <w:szCs w:val="32"/>
          <w:lang w:val="zh-CN"/>
        </w:rPr>
        <w:t>本年</w:t>
      </w:r>
      <w:r>
        <w:rPr>
          <w:rFonts w:hint="eastAsia" w:ascii="仿宋_GB2312" w:eastAsia="仿宋_GB2312"/>
          <w:sz w:val="32"/>
          <w:szCs w:val="32"/>
          <w:lang w:val="en-US" w:eastAsia="zh-CN"/>
        </w:rPr>
        <w:t>功能</w:t>
      </w:r>
      <w:r>
        <w:rPr>
          <w:rFonts w:hint="eastAsia" w:ascii="仿宋_GB2312" w:eastAsia="仿宋_GB2312"/>
          <w:sz w:val="32"/>
          <w:szCs w:val="32"/>
          <w:lang w:val="zh-CN"/>
        </w:rPr>
        <w:t>科目调整，住房公积金经费</w:t>
      </w:r>
      <w:r>
        <w:rPr>
          <w:rFonts w:hint="eastAsia" w:ascii="仿宋_GB2312" w:eastAsia="仿宋_GB2312"/>
          <w:sz w:val="32"/>
          <w:szCs w:val="32"/>
          <w:lang w:val="en-US" w:eastAsia="zh-CN"/>
        </w:rPr>
        <w:t>本</w:t>
      </w:r>
      <w:r>
        <w:rPr>
          <w:rFonts w:hint="eastAsia" w:ascii="仿宋_GB2312" w:eastAsia="仿宋_GB2312"/>
          <w:sz w:val="32"/>
          <w:szCs w:val="32"/>
          <w:lang w:val="zh-CN"/>
        </w:rPr>
        <w:t>年在主科目</w:t>
      </w:r>
      <w:r>
        <w:rPr>
          <w:rFonts w:hint="eastAsia" w:ascii="仿宋_GB2312" w:eastAsia="仿宋_GB2312"/>
          <w:sz w:val="32"/>
          <w:szCs w:val="32"/>
          <w:lang w:val="en-US" w:eastAsia="zh-CN"/>
        </w:rPr>
        <w:t>核算</w:t>
      </w:r>
      <w:r>
        <w:rPr>
          <w:rFonts w:hint="eastAsia" w:ascii="仿宋_GB2312" w:eastAsia="仿宋_GB2312"/>
          <w:sz w:val="32"/>
          <w:szCs w:val="32"/>
          <w:lang w:val="zh-CN"/>
        </w:rPr>
        <w:t>，导致此经费</w:t>
      </w:r>
      <w:r>
        <w:rPr>
          <w:rFonts w:hint="eastAsia" w:ascii="仿宋_GB2312" w:eastAsia="仿宋_GB2312"/>
          <w:sz w:val="32"/>
          <w:szCs w:val="32"/>
          <w:lang w:val="en-US" w:eastAsia="zh-CN"/>
        </w:rPr>
        <w:t>减少</w:t>
      </w:r>
      <w:r>
        <w:rPr>
          <w:rFonts w:hint="eastAsia" w:ascii="仿宋_GB2312" w:eastAsia="仿宋_GB2312"/>
          <w:sz w:val="32"/>
          <w:szCs w:val="32"/>
          <w:lang w:val="zh-CN"/>
        </w:rPr>
        <w:t>。</w:t>
      </w:r>
    </w:p>
    <w:p w14:paraId="21EAFF24">
      <w:pPr>
        <w:ind w:firstLine="640" w:firstLineChars="200"/>
        <w:jc w:val="left"/>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8.社会保障和就业支出（类）行政事业单位养老支出（款）机关事业单位基本养老保险缴费支出（项）:支出决算数为0.00万元，比上年决算减少13.85万元，下降100%，主要原因是：</w:t>
      </w:r>
      <w:r>
        <w:rPr>
          <w:rFonts w:hint="eastAsia" w:ascii="仿宋_GB2312" w:eastAsia="仿宋_GB2312"/>
          <w:sz w:val="32"/>
          <w:szCs w:val="32"/>
          <w:lang w:val="zh-CN"/>
        </w:rPr>
        <w:t>本年</w:t>
      </w:r>
      <w:r>
        <w:rPr>
          <w:rFonts w:hint="eastAsia" w:ascii="仿宋_GB2312" w:eastAsia="仿宋_GB2312"/>
          <w:sz w:val="32"/>
          <w:szCs w:val="32"/>
          <w:lang w:val="en-US" w:eastAsia="zh-CN"/>
        </w:rPr>
        <w:t>功能</w:t>
      </w:r>
      <w:r>
        <w:rPr>
          <w:rFonts w:hint="eastAsia" w:ascii="仿宋_GB2312" w:eastAsia="仿宋_GB2312"/>
          <w:sz w:val="32"/>
          <w:szCs w:val="32"/>
          <w:lang w:val="zh-CN"/>
        </w:rPr>
        <w:t>科目调整，</w:t>
      </w:r>
      <w:r>
        <w:rPr>
          <w:rFonts w:hint="eastAsia" w:ascii="仿宋_GB2312" w:eastAsia="仿宋_GB2312"/>
          <w:sz w:val="32"/>
          <w:szCs w:val="32"/>
        </w:rPr>
        <w:t>机关事业单位基本养老保险缴费</w:t>
      </w:r>
      <w:r>
        <w:rPr>
          <w:rFonts w:hint="eastAsia" w:ascii="仿宋_GB2312" w:eastAsia="仿宋_GB2312"/>
          <w:sz w:val="32"/>
          <w:szCs w:val="32"/>
          <w:lang w:val="en-US" w:eastAsia="zh-CN"/>
        </w:rPr>
        <w:t>本</w:t>
      </w:r>
      <w:r>
        <w:rPr>
          <w:rFonts w:hint="eastAsia" w:ascii="仿宋_GB2312" w:eastAsia="仿宋_GB2312"/>
          <w:sz w:val="32"/>
          <w:szCs w:val="32"/>
          <w:lang w:val="zh-CN"/>
        </w:rPr>
        <w:t>年在主科目</w:t>
      </w:r>
      <w:r>
        <w:rPr>
          <w:rFonts w:hint="eastAsia" w:ascii="仿宋_GB2312" w:eastAsia="仿宋_GB2312"/>
          <w:sz w:val="32"/>
          <w:szCs w:val="32"/>
          <w:lang w:val="en-US" w:eastAsia="zh-CN"/>
        </w:rPr>
        <w:t>核算</w:t>
      </w:r>
      <w:r>
        <w:rPr>
          <w:rFonts w:hint="eastAsia" w:ascii="仿宋_GB2312" w:eastAsia="仿宋_GB2312"/>
          <w:sz w:val="32"/>
          <w:szCs w:val="32"/>
          <w:lang w:val="zh-CN"/>
        </w:rPr>
        <w:t>，导致此经费</w:t>
      </w:r>
      <w:r>
        <w:rPr>
          <w:rFonts w:hint="eastAsia" w:ascii="仿宋_GB2312" w:eastAsia="仿宋_GB2312"/>
          <w:sz w:val="32"/>
          <w:szCs w:val="32"/>
          <w:lang w:val="en-US" w:eastAsia="zh-CN"/>
        </w:rPr>
        <w:t>减少</w:t>
      </w:r>
      <w:r>
        <w:rPr>
          <w:rFonts w:hint="eastAsia" w:ascii="仿宋_GB2312" w:eastAsia="仿宋_GB2312"/>
          <w:sz w:val="32"/>
          <w:szCs w:val="32"/>
          <w:lang w:val="zh-CN"/>
        </w:rPr>
        <w:t>。</w:t>
      </w:r>
    </w:p>
    <w:p w14:paraId="4F4ACFE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417E516">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187.77万元，其中：人员经费174.05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14:paraId="23BC27A1">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公用经费13.72万元，包括：办公费、水费、电费、取暖费。</w:t>
      </w:r>
    </w:p>
    <w:p w14:paraId="04490C8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172640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1C72F60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154E32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309A28A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2515EDE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5554040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132BE707">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64AA088">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7FD4298">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14:paraId="59F09C1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EA19E4F">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9432920">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08D5DCF">
      <w:pPr>
        <w:ind w:firstLine="640" w:firstLineChars="200"/>
        <w:jc w:val="left"/>
        <w:rPr>
          <w:rFonts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木垒哈萨克自治县博物馆（行政单位和参照公务员法管理事业单位）机关运行经费支出13.72万元，</w:t>
      </w:r>
      <w:r>
        <w:rPr>
          <w:rFonts w:hint="eastAsia" w:ascii="仿宋_GB2312" w:eastAsia="仿宋_GB2312"/>
          <w:sz w:val="32"/>
          <w:szCs w:val="32"/>
          <w:lang w:val="zh-CN"/>
        </w:rPr>
        <w:t>比上年增加13.72万元，增长100.00%，主要原因是：</w:t>
      </w:r>
      <w:r>
        <w:rPr>
          <w:rFonts w:hint="eastAsia" w:ascii="仿宋_GB2312" w:eastAsia="仿宋_GB2312"/>
          <w:sz w:val="32"/>
          <w:szCs w:val="32"/>
        </w:rPr>
        <w:t>单位本年办公费</w:t>
      </w:r>
      <w:r>
        <w:rPr>
          <w:rFonts w:hint="eastAsia" w:ascii="仿宋_GB2312" w:eastAsia="仿宋_GB2312"/>
          <w:sz w:val="32"/>
          <w:szCs w:val="32"/>
          <w:lang w:eastAsia="zh-CN"/>
        </w:rPr>
        <w:t>、</w:t>
      </w:r>
      <w:r>
        <w:rPr>
          <w:rFonts w:hint="eastAsia" w:ascii="仿宋_GB2312" w:eastAsia="仿宋_GB2312"/>
          <w:sz w:val="32"/>
          <w:szCs w:val="32"/>
          <w:lang w:val="en-US" w:eastAsia="zh-CN"/>
        </w:rPr>
        <w:t>水电费</w:t>
      </w:r>
      <w:r>
        <w:rPr>
          <w:rFonts w:hint="eastAsia" w:ascii="仿宋_GB2312" w:eastAsia="仿宋_GB2312"/>
          <w:sz w:val="32"/>
          <w:szCs w:val="32"/>
        </w:rPr>
        <w:t>、取暖费较上年增加。</w:t>
      </w:r>
    </w:p>
    <w:p w14:paraId="0A5495FC">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A0A987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2023年度政府采购支出总额12.66万元，其中：政府采购货物支出5.76万元、政府采购工程支出0.00万元、政府采购服务支出6.90万元。</w:t>
      </w:r>
    </w:p>
    <w:p w14:paraId="33882F14">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授予中小企业合同金额12.66万元，占政府采购支出总额的100.00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，其中：授予小微企业合同金额12.66万元，占政府采购支出总额的100.00</w:t>
      </w:r>
      <w:r>
        <w:rPr>
          <w:rFonts w:ascii="仿宋_GB2312" w:eastAsia="仿宋_GB2312"/>
          <w:sz w:val="32"/>
          <w:szCs w:val="32"/>
          <w:lang w:val="zh-CN"/>
        </w:rPr>
        <w:t>%</w:t>
      </w:r>
      <w:r>
        <w:rPr>
          <w:rFonts w:hint="eastAsia" w:ascii="仿宋_GB2312" w:eastAsia="仿宋_GB2312"/>
          <w:sz w:val="32"/>
          <w:szCs w:val="32"/>
        </w:rPr>
        <w:t>。</w:t>
      </w:r>
    </w:p>
    <w:p w14:paraId="0A82D2EF">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7E2C4EF">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368.06</w:t>
      </w:r>
      <w:r>
        <w:rPr>
          <w:rFonts w:hint="eastAsia" w:ascii="仿宋_GB2312" w:eastAsia="仿宋_GB2312"/>
          <w:sz w:val="32"/>
          <w:szCs w:val="32"/>
        </w:rPr>
        <w:t>万元，房</w:t>
      </w:r>
      <w:r>
        <w:rPr>
          <w:rFonts w:hint="eastAsia" w:ascii="仿宋_GB2312" w:eastAsia="仿宋_GB2312"/>
          <w:sz w:val="32"/>
          <w:szCs w:val="32"/>
          <w:lang w:val="zh-CN"/>
        </w:rPr>
        <w:t>屋0.0</w:t>
      </w:r>
      <w:r>
        <w:rPr>
          <w:rFonts w:hint="eastAsia" w:ascii="仿宋_GB2312" w:eastAsia="仿宋_GB2312"/>
          <w:sz w:val="32"/>
          <w:szCs w:val="32"/>
        </w:rPr>
        <w:t>0</w:t>
      </w:r>
      <w:r>
        <w:rPr>
          <w:rFonts w:hint="eastAsia" w:ascii="仿宋_GB2312" w:eastAsia="仿宋_GB2312"/>
          <w:sz w:val="32"/>
          <w:szCs w:val="32"/>
          <w:lang w:val="zh-CN"/>
        </w:rPr>
        <w:t>平方米，价值0.00万元。车辆0辆，价值0.00万元，其中：副部（省）级及以上领导用车0辆、主要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；单价100万元（含）以上设备（不含车辆）1</w:t>
      </w:r>
      <w:r>
        <w:rPr>
          <w:rFonts w:hint="eastAsia" w:ascii="仿宋_GB2312" w:eastAsia="仿宋_GB2312"/>
          <w:sz w:val="32"/>
          <w:szCs w:val="32"/>
        </w:rPr>
        <w:t>台（</w:t>
      </w:r>
      <w:r>
        <w:rPr>
          <w:rFonts w:hint="eastAsia" w:ascii="仿宋_GB2312" w:eastAsia="仿宋_GB2312"/>
          <w:sz w:val="32"/>
          <w:szCs w:val="32"/>
          <w:lang w:val="zh-CN"/>
        </w:rPr>
        <w:t>套）。</w:t>
      </w:r>
    </w:p>
    <w:p w14:paraId="31A9E1D0">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D48ABF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625.65万元，实际执行总额625.65万元；预算绩效评价项目3个，全年预算数127.72万元，全年执行数127.72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816"/>
        <w:gridCol w:w="1197"/>
        <w:gridCol w:w="1171"/>
        <w:gridCol w:w="968"/>
        <w:gridCol w:w="1001"/>
        <w:gridCol w:w="722"/>
        <w:gridCol w:w="916"/>
        <w:gridCol w:w="731"/>
      </w:tblGrid>
      <w:tr w14:paraId="0D168D71">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B41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7976EA74">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CD2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7C19D0B7">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D6D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46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14:paraId="06142B3A">
        <w:tblPrEx>
          <w:tblCellMar>
            <w:top w:w="0" w:type="dxa"/>
            <w:left w:w="108" w:type="dxa"/>
            <w:bottom w:w="0" w:type="dxa"/>
            <w:right w:w="108" w:type="dxa"/>
          </w:tblCellMar>
        </w:tblPrEx>
        <w:trPr>
          <w:trHeight w:val="57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8F3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3E7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58E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814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AAF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3B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5FF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550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6849BA5D">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AF53C">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DC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3B0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D6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D8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522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8CE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6E3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0D7CADA">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F8369">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136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641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C41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09F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65F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64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02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E3F6850">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DDF2B">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743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629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E1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36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203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017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FB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CEEA0BD">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19E28">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16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B8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206.43</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3AC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D90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D79D">
            <w:pPr>
              <w:jc w:val="center"/>
              <w:rPr>
                <w:rFonts w:hint="eastAsia" w:ascii="宋体" w:hAnsi="宋体" w:cs="宋体"/>
                <w:color w:val="000000"/>
                <w:sz w:val="20"/>
                <w:szCs w:val="20"/>
              </w:rPr>
            </w:pPr>
            <w:r>
              <w:rPr>
                <w:rFonts w:hint="eastAsia"/>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A6EE9">
            <w:pPr>
              <w:jc w:val="center"/>
              <w:rPr>
                <w:rFonts w:hint="eastAsia" w:ascii="宋体" w:hAnsi="宋体" w:cs="宋体"/>
                <w:color w:val="000000"/>
                <w:sz w:val="20"/>
                <w:szCs w:val="20"/>
              </w:rPr>
            </w:pPr>
            <w:r>
              <w:rPr>
                <w:rFonts w:hint="eastAsia"/>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C86D">
            <w:pPr>
              <w:jc w:val="center"/>
              <w:rPr>
                <w:rFonts w:hint="eastAsia" w:ascii="宋体" w:hAnsi="宋体" w:cs="宋体"/>
                <w:color w:val="000000"/>
                <w:sz w:val="20"/>
                <w:szCs w:val="20"/>
              </w:rPr>
            </w:pPr>
            <w:r>
              <w:rPr>
                <w:rFonts w:hint="eastAsia"/>
              </w:rPr>
              <w:t>-</w:t>
            </w:r>
          </w:p>
        </w:tc>
      </w:tr>
      <w:tr w14:paraId="547F7920">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953C5">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6F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A3C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1D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A9D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1F536">
            <w:pPr>
              <w:jc w:val="center"/>
              <w:rPr>
                <w:rFonts w:hint="eastAsia" w:ascii="宋体" w:hAnsi="宋体" w:cs="宋体"/>
                <w:color w:val="000000"/>
                <w:sz w:val="20"/>
                <w:szCs w:val="20"/>
              </w:rPr>
            </w:pPr>
            <w:r>
              <w:rPr>
                <w:rFonts w:hint="eastAsia"/>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8F022">
            <w:pPr>
              <w:jc w:val="center"/>
              <w:rPr>
                <w:rFonts w:hint="eastAsia" w:ascii="宋体" w:hAnsi="宋体" w:cs="宋体"/>
                <w:color w:val="000000"/>
                <w:sz w:val="20"/>
                <w:szCs w:val="20"/>
              </w:rPr>
            </w:pPr>
            <w:r>
              <w:rPr>
                <w:rFonts w:hint="eastAsia"/>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282F">
            <w:pPr>
              <w:jc w:val="center"/>
              <w:rPr>
                <w:rFonts w:hint="eastAsia" w:ascii="宋体" w:hAnsi="宋体" w:cs="宋体"/>
                <w:color w:val="000000"/>
                <w:sz w:val="20"/>
                <w:szCs w:val="20"/>
              </w:rPr>
            </w:pPr>
            <w:r>
              <w:rPr>
                <w:rFonts w:hint="eastAsia"/>
              </w:rPr>
              <w:t>-</w:t>
            </w:r>
          </w:p>
        </w:tc>
      </w:tr>
      <w:tr w14:paraId="6582A46C">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6A99A">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53E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63D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206.43</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780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83B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B24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6D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404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05395B2">
        <w:tblPrEx>
          <w:tblCellMar>
            <w:top w:w="0" w:type="dxa"/>
            <w:left w:w="108" w:type="dxa"/>
            <w:bottom w:w="0" w:type="dxa"/>
            <w:right w:w="108" w:type="dxa"/>
          </w:tblCellMar>
        </w:tblPrEx>
        <w:trPr>
          <w:trHeight w:val="705"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AC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3D5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135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1185089B">
        <w:tblPrEx>
          <w:tblCellMar>
            <w:top w:w="0" w:type="dxa"/>
            <w:left w:w="108" w:type="dxa"/>
            <w:bottom w:w="0" w:type="dxa"/>
            <w:right w:w="108" w:type="dxa"/>
          </w:tblCellMar>
        </w:tblPrEx>
        <w:trPr>
          <w:trHeight w:val="200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27B39">
            <w:pPr>
              <w:jc w:val="center"/>
              <w:rPr>
                <w:rFonts w:hint="eastAsia" w:ascii="宋体" w:hAnsi="宋体" w:cs="宋体"/>
                <w:color w:val="000000"/>
                <w:sz w:val="20"/>
                <w:szCs w:val="20"/>
              </w:rPr>
            </w:pPr>
          </w:p>
        </w:tc>
        <w:tc>
          <w:tcPr>
            <w:tcW w:w="3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5DFD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2023年举办博物馆展览活动10次，举办宣传培训4次；全年免费开放博物馆300天以上；做好县域内的文物保护和管理工作，文物档案管理覆盖率达到100%。保障博物馆的正常运行，各项工作得到正常开展。</w:t>
            </w:r>
          </w:p>
        </w:tc>
        <w:tc>
          <w:tcPr>
            <w:tcW w:w="3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E4E7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部门整体自评，我单位已完成如下工作：2023年举办博物馆展览活动10次，举办宣传培训4次；全年免费开放博物馆300天以上；做好县域内的文物保护和管理工作，文物档案管理覆盖率达到100%。保障博物馆的正常运行，各项工作得到正常开展。</w:t>
            </w:r>
          </w:p>
        </w:tc>
      </w:tr>
      <w:tr w14:paraId="109D2958">
        <w:tblPrEx>
          <w:tblCellMar>
            <w:top w:w="0" w:type="dxa"/>
            <w:left w:w="108" w:type="dxa"/>
            <w:bottom w:w="0" w:type="dxa"/>
            <w:right w:w="108" w:type="dxa"/>
          </w:tblCellMar>
        </w:tblPrEx>
        <w:trPr>
          <w:trHeight w:val="580" w:hRule="atLeast"/>
          <w:jc w:val="center"/>
        </w:trPr>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ED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648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5BF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61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A15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DB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2AA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38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1D251F0C">
        <w:tblPrEx>
          <w:tblCellMar>
            <w:top w:w="0" w:type="dxa"/>
            <w:left w:w="108" w:type="dxa"/>
            <w:bottom w:w="0" w:type="dxa"/>
            <w:right w:w="108" w:type="dxa"/>
          </w:tblCellMar>
        </w:tblPrEx>
        <w:trPr>
          <w:trHeight w:val="74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7DB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BBAE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828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C9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&gt;=8人</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D61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关于木垒哈萨克自治县文化体育广播电视和旅游局所属事业单位机构编制调整有关事宜的通知</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EA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59C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8人</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86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14:paraId="0830BDFB">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4C828">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F743C">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AE3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房屋建筑物供暖面积</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78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&gt;=3000平方米</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4B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关于木垒哈萨克自治县文化体育广播电视和旅游局所属事业单位机构编制调整有关事宜的通知</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27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C5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3000平方米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9A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14:paraId="3F9FC0B5">
        <w:tblPrEx>
          <w:tblCellMar>
            <w:top w:w="0" w:type="dxa"/>
            <w:left w:w="108" w:type="dxa"/>
            <w:bottom w:w="0" w:type="dxa"/>
            <w:right w:w="108" w:type="dxa"/>
          </w:tblCellMar>
        </w:tblPrEx>
        <w:trPr>
          <w:trHeight w:val="74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F500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8CDE8">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39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开展博物馆展览次数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296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635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C3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44845">
            <w:pPr>
              <w:widowControl/>
              <w:jc w:val="center"/>
              <w:textAlignment w:val="center"/>
              <w:rPr>
                <w:rFonts w:hint="eastAsia" w:ascii="宋体" w:hAnsi="宋体" w:cs="宋体"/>
                <w:color w:val="000000"/>
                <w:sz w:val="20"/>
                <w:szCs w:val="20"/>
              </w:rPr>
            </w:pPr>
            <w:bookmarkStart w:id="48" w:name="_GoBack"/>
            <w:r>
              <w:rPr>
                <w:rFonts w:hint="eastAsia" w:ascii="宋体" w:hAnsi="宋体" w:cs="宋体"/>
                <w:color w:val="000000"/>
                <w:kern w:val="0"/>
                <w:sz w:val="20"/>
                <w:szCs w:val="20"/>
                <w:lang w:bidi="ar"/>
              </w:rPr>
              <w:t>10</w:t>
            </w:r>
            <w:bookmarkEnd w:id="48"/>
            <w:r>
              <w:rPr>
                <w:rFonts w:hint="eastAsia" w:ascii="宋体" w:hAnsi="宋体" w:cs="宋体"/>
                <w:color w:val="000000"/>
                <w:kern w:val="0"/>
                <w:sz w:val="20"/>
                <w:szCs w:val="20"/>
                <w:lang w:bidi="ar"/>
              </w:rPr>
              <w:t>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54E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r>
      <w:tr w14:paraId="59801C8B">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0A8E2">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BCA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D3F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博物馆开展成功率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9E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2CA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B6E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61D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3FB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24574084">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3EBF2">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73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78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参观接待开馆时间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898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&gt;=300天</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3CB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861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7B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300天</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9E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096BAFB4">
        <w:tblPrEx>
          <w:tblCellMar>
            <w:top w:w="0" w:type="dxa"/>
            <w:left w:w="108" w:type="dxa"/>
            <w:bottom w:w="0" w:type="dxa"/>
            <w:right w:w="108" w:type="dxa"/>
          </w:tblCellMar>
        </w:tblPrEx>
        <w:trPr>
          <w:trHeight w:val="74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52C2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6EF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075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举办宣传活动次数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98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E7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48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495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189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0A3863AB">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03023">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3547A">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CBB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举办历史文化活动次数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437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C91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037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32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438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406AA8DD">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457DC">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B6A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C4A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文物档案管理覆盖率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8AC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DAC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A3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07C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612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r>
    </w:tbl>
    <w:p w14:paraId="6BD66765">
      <w:pPr>
        <w:ind w:firstLine="640" w:firstLineChars="200"/>
        <w:jc w:val="left"/>
        <w:rPr>
          <w:rFonts w:hint="eastAsia" w:ascii="黑体" w:hAnsi="黑体" w:eastAsia="黑体" w:cs="宋体"/>
          <w:bCs/>
          <w:kern w:val="0"/>
          <w:sz w:val="32"/>
          <w:szCs w:val="32"/>
        </w:rPr>
      </w:pPr>
    </w:p>
    <w:tbl>
      <w:tblPr>
        <w:tblStyle w:val="9"/>
        <w:tblW w:w="5000" w:type="pct"/>
        <w:jc w:val="center"/>
        <w:tblLayout w:type="fixed"/>
        <w:tblCellMar>
          <w:top w:w="0" w:type="dxa"/>
          <w:left w:w="108" w:type="dxa"/>
          <w:bottom w:w="0" w:type="dxa"/>
          <w:right w:w="108" w:type="dxa"/>
        </w:tblCellMar>
      </w:tblPr>
      <w:tblGrid>
        <w:gridCol w:w="495"/>
        <w:gridCol w:w="496"/>
        <w:gridCol w:w="818"/>
        <w:gridCol w:w="843"/>
        <w:gridCol w:w="974"/>
        <w:gridCol w:w="595"/>
        <w:gridCol w:w="893"/>
        <w:gridCol w:w="786"/>
        <w:gridCol w:w="248"/>
        <w:gridCol w:w="406"/>
        <w:gridCol w:w="260"/>
        <w:gridCol w:w="554"/>
        <w:gridCol w:w="401"/>
        <w:gridCol w:w="753"/>
      </w:tblGrid>
      <w:tr w14:paraId="6FA75E01">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1B498CB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14:paraId="3EB84FDF">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2CE484C">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6E6A4CBE">
        <w:tblPrEx>
          <w:tblCellMar>
            <w:top w:w="0" w:type="dxa"/>
            <w:left w:w="108" w:type="dxa"/>
            <w:bottom w:w="0" w:type="dxa"/>
            <w:right w:w="108" w:type="dxa"/>
          </w:tblCellMar>
        </w:tblPrEx>
        <w:trPr>
          <w:trHeight w:val="288" w:hRule="atLeast"/>
          <w:jc w:val="center"/>
        </w:trPr>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CE3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53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81811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2023年中央补助地方博物馆纪念馆免费开放补助资金</w:t>
            </w:r>
          </w:p>
        </w:tc>
      </w:tr>
      <w:tr w14:paraId="4DD5993A">
        <w:tblPrEx>
          <w:tblCellMar>
            <w:top w:w="0" w:type="dxa"/>
            <w:left w:w="108" w:type="dxa"/>
            <w:bottom w:w="0" w:type="dxa"/>
            <w:right w:w="108" w:type="dxa"/>
          </w:tblCellMar>
        </w:tblPrEx>
        <w:trPr>
          <w:trHeight w:val="288" w:hRule="atLeast"/>
          <w:jc w:val="center"/>
        </w:trPr>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F18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353D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913A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6E62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14:paraId="3F7BAC17">
        <w:tblPrEx>
          <w:tblCellMar>
            <w:top w:w="0" w:type="dxa"/>
            <w:left w:w="108" w:type="dxa"/>
            <w:bottom w:w="0" w:type="dxa"/>
            <w:right w:w="108" w:type="dxa"/>
          </w:tblCellMar>
        </w:tblPrEx>
        <w:trPr>
          <w:trHeight w:val="480" w:hRule="atLeast"/>
          <w:jc w:val="center"/>
        </w:trPr>
        <w:tc>
          <w:tcPr>
            <w:tcW w:w="9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6427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59284">
            <w:pPr>
              <w:jc w:val="center"/>
              <w:rPr>
                <w:rFonts w:hint="eastAsia" w:ascii="宋体" w:hAnsi="宋体" w:cs="宋体"/>
                <w:color w:val="000000"/>
                <w:sz w:val="20"/>
                <w:szCs w:val="20"/>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292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DE7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C64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67B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A085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C65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685397D6">
        <w:tblPrEx>
          <w:tblCellMar>
            <w:top w:w="0" w:type="dxa"/>
            <w:left w:w="108" w:type="dxa"/>
            <w:bottom w:w="0" w:type="dxa"/>
            <w:right w:w="108" w:type="dxa"/>
          </w:tblCellMar>
        </w:tblPrEx>
        <w:trPr>
          <w:trHeight w:val="440" w:hRule="atLeast"/>
          <w:jc w:val="center"/>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5D709">
            <w:pPr>
              <w:jc w:val="center"/>
              <w:rPr>
                <w:rFonts w:hint="eastAsia" w:ascii="宋体" w:hAnsi="宋体" w:cs="宋体"/>
                <w:color w:val="000000"/>
                <w:sz w:val="20"/>
                <w:szCs w:val="20"/>
              </w:rPr>
            </w:pP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71E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F8C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6D3C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F70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EC2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92D3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0C6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4E36B073">
        <w:tblPrEx>
          <w:tblCellMar>
            <w:top w:w="0" w:type="dxa"/>
            <w:left w:w="108" w:type="dxa"/>
            <w:bottom w:w="0" w:type="dxa"/>
            <w:right w:w="108" w:type="dxa"/>
          </w:tblCellMar>
        </w:tblPrEx>
        <w:trPr>
          <w:trHeight w:val="440" w:hRule="atLeast"/>
          <w:jc w:val="center"/>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4EB38">
            <w:pPr>
              <w:jc w:val="center"/>
              <w:rPr>
                <w:rFonts w:hint="eastAsia" w:ascii="宋体" w:hAnsi="宋体" w:cs="宋体"/>
                <w:color w:val="000000"/>
                <w:sz w:val="20"/>
                <w:szCs w:val="20"/>
              </w:rPr>
            </w:pP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0B4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BBD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DB7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184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F8B9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E92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BC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41C1424">
        <w:tblPrEx>
          <w:tblCellMar>
            <w:top w:w="0" w:type="dxa"/>
            <w:left w:w="108" w:type="dxa"/>
            <w:bottom w:w="0" w:type="dxa"/>
            <w:right w:w="108" w:type="dxa"/>
          </w:tblCellMar>
        </w:tblPrEx>
        <w:trPr>
          <w:trHeight w:val="440" w:hRule="atLeast"/>
          <w:jc w:val="center"/>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C1B1F">
            <w:pPr>
              <w:jc w:val="center"/>
              <w:rPr>
                <w:rFonts w:hint="eastAsia" w:ascii="宋体" w:hAnsi="宋体" w:cs="宋体"/>
                <w:color w:val="000000"/>
                <w:sz w:val="20"/>
                <w:szCs w:val="20"/>
              </w:rPr>
            </w:pP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94AF5">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D528C">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4B1E2">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88E9AA">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7912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FCA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92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4147996">
        <w:tblPrEx>
          <w:tblCellMar>
            <w:top w:w="0" w:type="dxa"/>
            <w:left w:w="108" w:type="dxa"/>
            <w:bottom w:w="0" w:type="dxa"/>
            <w:right w:w="108" w:type="dxa"/>
          </w:tblCellMar>
        </w:tblPrEx>
        <w:trPr>
          <w:trHeight w:val="288" w:hRule="atLeast"/>
          <w:jc w:val="center"/>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3D62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1EC1B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4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EA14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75232028">
        <w:tblPrEx>
          <w:tblCellMar>
            <w:top w:w="0" w:type="dxa"/>
            <w:left w:w="108" w:type="dxa"/>
            <w:bottom w:w="0" w:type="dxa"/>
            <w:right w:w="108" w:type="dxa"/>
          </w:tblCellMar>
        </w:tblPrEx>
        <w:trPr>
          <w:trHeight w:val="54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9194D">
            <w:pPr>
              <w:jc w:val="center"/>
              <w:rPr>
                <w:rFonts w:hint="eastAsia" w:ascii="宋体" w:hAnsi="宋体" w:cs="宋体"/>
                <w:color w:val="000000"/>
                <w:sz w:val="20"/>
                <w:szCs w:val="20"/>
              </w:rPr>
            </w:pPr>
          </w:p>
        </w:tc>
        <w:tc>
          <w:tcPr>
            <w:tcW w:w="4619" w:type="dxa"/>
            <w:gridSpan w:val="6"/>
            <w:tcBorders>
              <w:top w:val="single" w:color="000000" w:sz="4" w:space="0"/>
              <w:left w:val="single" w:color="000000" w:sz="4" w:space="0"/>
              <w:bottom w:val="single" w:color="000000" w:sz="4" w:space="0"/>
              <w:right w:val="single" w:color="000000" w:sz="4" w:space="0"/>
            </w:tcBorders>
            <w:shd w:val="clear" w:color="auto" w:fill="auto"/>
          </w:tcPr>
          <w:p w14:paraId="569C8673">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w:t>
            </w:r>
            <w:r>
              <w:rPr>
                <w:rFonts w:hint="eastAsia" w:ascii="宋体" w:hAnsi="宋体" w:cs="宋体"/>
                <w:color w:val="000000"/>
                <w:kern w:val="0"/>
                <w:sz w:val="20"/>
                <w:szCs w:val="20"/>
                <w:lang w:eastAsia="zh-CN" w:bidi="ar"/>
              </w:rPr>
              <w:t>〔2022〕61号</w:t>
            </w:r>
            <w:r>
              <w:rPr>
                <w:rFonts w:hint="eastAsia" w:ascii="宋体" w:hAnsi="宋体" w:cs="宋体"/>
                <w:color w:val="000000"/>
                <w:kern w:val="0"/>
                <w:sz w:val="20"/>
                <w:szCs w:val="20"/>
                <w:lang w:bidi="ar"/>
              </w:rPr>
              <w:t>文件木垒哈萨克自治县博物馆使用免费开放补助资金。主要举办展览活动，展示木垒历史，让人民群众了解木垒历史，感受木垒厚重的历史文化；举办宣传培训，丰富群众文化生活，牢固树立“四个认同”，落实总目标；保障博物馆的正常运行，各项工作得到正常开展。</w:t>
            </w:r>
          </w:p>
        </w:tc>
        <w:tc>
          <w:tcPr>
            <w:tcW w:w="3408" w:type="dxa"/>
            <w:gridSpan w:val="7"/>
            <w:tcBorders>
              <w:top w:val="single" w:color="000000" w:sz="4" w:space="0"/>
              <w:left w:val="single" w:color="000000" w:sz="4" w:space="0"/>
              <w:bottom w:val="single" w:color="000000" w:sz="4" w:space="0"/>
              <w:right w:val="single" w:color="000000" w:sz="4" w:space="0"/>
            </w:tcBorders>
            <w:shd w:val="clear" w:color="auto" w:fill="auto"/>
          </w:tcPr>
          <w:p w14:paraId="4DDEBDC5">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博物馆依据</w:t>
            </w:r>
            <w:r>
              <w:rPr>
                <w:rFonts w:hint="eastAsia" w:ascii="宋体" w:hAnsi="宋体" w:cs="宋体"/>
                <w:color w:val="000000"/>
                <w:kern w:val="0"/>
                <w:sz w:val="20"/>
                <w:szCs w:val="20"/>
                <w:lang w:eastAsia="zh-CN" w:bidi="ar"/>
              </w:rPr>
              <w:t>〔2022〕61号</w:t>
            </w:r>
            <w:r>
              <w:rPr>
                <w:rFonts w:hint="eastAsia" w:ascii="宋体" w:hAnsi="宋体" w:cs="宋体"/>
                <w:color w:val="000000"/>
                <w:kern w:val="0"/>
                <w:sz w:val="20"/>
                <w:szCs w:val="20"/>
                <w:lang w:bidi="ar"/>
              </w:rPr>
              <w:t>文件开展流动博物馆及免费开放工作，截止至2023年12月，我单位已在</w:t>
            </w: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开展流动博物馆展览10场次，免费开放博物馆300天，展厅免费参观人数达50000余人。让人民群众了解木垒历史，感受木垒的历史文化。</w:t>
            </w:r>
          </w:p>
        </w:tc>
      </w:tr>
      <w:tr w14:paraId="21AE923D">
        <w:tblPrEx>
          <w:tblCellMar>
            <w:top w:w="0" w:type="dxa"/>
            <w:left w:w="108" w:type="dxa"/>
            <w:bottom w:w="0" w:type="dxa"/>
            <w:right w:w="108" w:type="dxa"/>
          </w:tblCellMar>
        </w:tblPrEx>
        <w:trPr>
          <w:trHeight w:val="312" w:hRule="atLeast"/>
          <w:jc w:val="center"/>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958675">
            <w:pPr>
              <w:jc w:val="center"/>
              <w:rPr>
                <w:rFonts w:hint="eastAsia" w:ascii="宋体" w:hAnsi="宋体" w:cs="宋体"/>
                <w:color w:val="000000"/>
                <w:sz w:val="20"/>
                <w:szCs w:val="20"/>
              </w:rPr>
            </w:pP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540D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8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A7D5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41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C11D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446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6E22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6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3759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81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01B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1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B0F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702390CE">
        <w:tblPrEx>
          <w:tblCellMar>
            <w:top w:w="0" w:type="dxa"/>
            <w:left w:w="108" w:type="dxa"/>
            <w:bottom w:w="0" w:type="dxa"/>
            <w:right w:w="108" w:type="dxa"/>
          </w:tblCellMar>
        </w:tblPrEx>
        <w:trPr>
          <w:trHeight w:val="312"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D006F">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666BB">
            <w:pPr>
              <w:jc w:val="center"/>
              <w:rPr>
                <w:rFonts w:hint="eastAsia" w:ascii="宋体" w:hAnsi="宋体" w:cs="宋体"/>
                <w:color w:val="000000"/>
                <w:sz w:val="20"/>
                <w:szCs w:val="20"/>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00DEB">
            <w:pPr>
              <w:jc w:val="center"/>
              <w:rPr>
                <w:rFonts w:hint="eastAsia" w:ascii="宋体" w:hAnsi="宋体" w:cs="宋体"/>
                <w:color w:val="000000"/>
                <w:sz w:val="20"/>
                <w:szCs w:val="20"/>
              </w:rPr>
            </w:pPr>
          </w:p>
        </w:tc>
        <w:tc>
          <w:tcPr>
            <w:tcW w:w="24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2BF20">
            <w:pPr>
              <w:jc w:val="center"/>
              <w:rPr>
                <w:rFonts w:hint="eastAsia" w:ascii="宋体" w:hAnsi="宋体" w:cs="宋体"/>
                <w:color w:val="000000"/>
                <w:sz w:val="20"/>
                <w:szCs w:val="20"/>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ADE6E">
            <w:pPr>
              <w:jc w:val="center"/>
              <w:rPr>
                <w:rFonts w:hint="eastAsia" w:ascii="宋体" w:hAnsi="宋体" w:cs="宋体"/>
                <w:color w:val="000000"/>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3F775">
            <w:pPr>
              <w:jc w:val="center"/>
              <w:rPr>
                <w:rFonts w:hint="eastAsia" w:ascii="宋体" w:hAnsi="宋体" w:cs="宋体"/>
                <w:color w:val="000000"/>
                <w:sz w:val="20"/>
                <w:szCs w:val="20"/>
              </w:rPr>
            </w:pPr>
          </w:p>
        </w:tc>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900A5">
            <w:pPr>
              <w:jc w:val="center"/>
              <w:rPr>
                <w:rFonts w:hint="eastAsia" w:ascii="宋体" w:hAnsi="宋体" w:cs="宋体"/>
                <w:color w:val="000000"/>
                <w:sz w:val="20"/>
                <w:szCs w:val="20"/>
              </w:rPr>
            </w:pPr>
          </w:p>
        </w:tc>
        <w:tc>
          <w:tcPr>
            <w:tcW w:w="8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A9C2B">
            <w:pPr>
              <w:jc w:val="center"/>
              <w:rPr>
                <w:rFonts w:hint="eastAsia" w:ascii="宋体" w:hAnsi="宋体" w:cs="宋体"/>
                <w:color w:val="000000"/>
                <w:sz w:val="20"/>
                <w:szCs w:val="20"/>
              </w:rPr>
            </w:pPr>
          </w:p>
        </w:tc>
        <w:tc>
          <w:tcPr>
            <w:tcW w:w="11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622D9">
            <w:pPr>
              <w:jc w:val="center"/>
              <w:rPr>
                <w:rFonts w:hint="eastAsia" w:ascii="宋体" w:hAnsi="宋体" w:cs="宋体"/>
                <w:color w:val="000000"/>
                <w:sz w:val="20"/>
                <w:szCs w:val="20"/>
              </w:rPr>
            </w:pPr>
          </w:p>
        </w:tc>
      </w:tr>
      <w:tr w14:paraId="7446F5A4">
        <w:tblPrEx>
          <w:tblCellMar>
            <w:top w:w="0" w:type="dxa"/>
            <w:left w:w="108" w:type="dxa"/>
            <w:bottom w:w="0" w:type="dxa"/>
            <w:right w:w="108" w:type="dxa"/>
          </w:tblCellMar>
        </w:tblPrEx>
        <w:trPr>
          <w:trHeight w:val="400" w:hRule="atLeast"/>
          <w:jc w:val="center"/>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7734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77A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94A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88A9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开展流动博物馆展览次数</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9D2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&gt;=10次</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2D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492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3AFC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9CD54">
            <w:pPr>
              <w:jc w:val="center"/>
              <w:rPr>
                <w:rFonts w:hint="eastAsia" w:ascii="宋体" w:hAnsi="宋体" w:cs="宋体"/>
                <w:color w:val="000000"/>
                <w:sz w:val="20"/>
                <w:szCs w:val="20"/>
              </w:rPr>
            </w:pPr>
          </w:p>
        </w:tc>
      </w:tr>
      <w:tr w14:paraId="240255B8">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A8498">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DAA57">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8D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9219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举办宣传活动次数</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AED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56E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B2D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5720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932515">
            <w:pPr>
              <w:jc w:val="center"/>
              <w:rPr>
                <w:rFonts w:hint="eastAsia" w:ascii="宋体" w:hAnsi="宋体" w:cs="宋体"/>
                <w:color w:val="000000"/>
                <w:sz w:val="20"/>
                <w:szCs w:val="20"/>
              </w:rPr>
            </w:pPr>
          </w:p>
        </w:tc>
      </w:tr>
      <w:tr w14:paraId="570A34DD">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F4B70">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DC820">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355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611E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举办历史文化活动次数</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AE6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&gt;=1次</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98C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FC49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44A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A598D">
            <w:pPr>
              <w:jc w:val="center"/>
              <w:rPr>
                <w:rFonts w:hint="eastAsia" w:ascii="宋体" w:hAnsi="宋体" w:cs="宋体"/>
                <w:color w:val="000000"/>
                <w:sz w:val="20"/>
                <w:szCs w:val="20"/>
              </w:rPr>
            </w:pPr>
          </w:p>
        </w:tc>
      </w:tr>
      <w:tr w14:paraId="38A2DC53">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AD66E">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1131F">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792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4B8E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开展流动博物馆展览覆盖率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5D4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BCB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8FCB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8B9D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C3ED2">
            <w:pPr>
              <w:jc w:val="center"/>
              <w:rPr>
                <w:rFonts w:hint="eastAsia" w:ascii="宋体" w:hAnsi="宋体" w:cs="宋体"/>
                <w:color w:val="000000"/>
                <w:sz w:val="20"/>
                <w:szCs w:val="20"/>
              </w:rPr>
            </w:pPr>
          </w:p>
        </w:tc>
      </w:tr>
      <w:tr w14:paraId="1C640D60">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B346B">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6C5AA">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9C7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B254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开展流动博物馆展览成功率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2EA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FC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C01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E0C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08B712">
            <w:pPr>
              <w:jc w:val="center"/>
              <w:rPr>
                <w:rFonts w:hint="eastAsia" w:ascii="宋体" w:hAnsi="宋体" w:cs="宋体"/>
                <w:color w:val="000000"/>
                <w:sz w:val="20"/>
                <w:szCs w:val="20"/>
              </w:rPr>
            </w:pPr>
          </w:p>
        </w:tc>
      </w:tr>
      <w:tr w14:paraId="6D4F351C">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1DB90">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10C49">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38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9A96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各项运转费用支付及时率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EE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9D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1C1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E10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26D13">
            <w:pPr>
              <w:jc w:val="center"/>
              <w:rPr>
                <w:rFonts w:hint="eastAsia" w:ascii="宋体" w:hAnsi="宋体" w:cs="宋体"/>
                <w:color w:val="000000"/>
                <w:sz w:val="20"/>
                <w:szCs w:val="20"/>
              </w:rPr>
            </w:pPr>
          </w:p>
        </w:tc>
      </w:tr>
      <w:tr w14:paraId="034BB5EA">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570C1">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36012">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89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C856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参观接待开馆时间</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AE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&gt;=300天</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1F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=300天</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5307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489F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DE8E0">
            <w:pPr>
              <w:jc w:val="center"/>
              <w:rPr>
                <w:rFonts w:hint="eastAsia" w:ascii="宋体" w:hAnsi="宋体" w:cs="宋体"/>
                <w:color w:val="000000"/>
                <w:sz w:val="20"/>
                <w:szCs w:val="20"/>
              </w:rPr>
            </w:pPr>
          </w:p>
        </w:tc>
      </w:tr>
      <w:tr w14:paraId="293A7CA6">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E9200">
            <w:pPr>
              <w:jc w:val="center"/>
              <w:rPr>
                <w:rFonts w:hint="eastAsia" w:ascii="宋体" w:hAnsi="宋体" w:cs="宋体"/>
                <w:color w:val="000000"/>
                <w:sz w:val="20"/>
                <w:szCs w:val="20"/>
              </w:rPr>
            </w:pP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83C2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11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D253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36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1F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31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BE9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E60AD6">
            <w:pPr>
              <w:jc w:val="center"/>
              <w:rPr>
                <w:rFonts w:hint="eastAsia" w:ascii="宋体" w:hAnsi="宋体" w:cs="宋体"/>
                <w:color w:val="000000"/>
                <w:sz w:val="20"/>
                <w:szCs w:val="20"/>
              </w:rPr>
            </w:pPr>
          </w:p>
        </w:tc>
      </w:tr>
      <w:tr w14:paraId="522F3890">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CBC07">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63C93">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E99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AB6F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对社会公众正常生活影响率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963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B48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181D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1DA8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26AFC">
            <w:pPr>
              <w:jc w:val="center"/>
              <w:rPr>
                <w:rFonts w:hint="eastAsia" w:ascii="宋体" w:hAnsi="宋体" w:cs="宋体"/>
                <w:color w:val="000000"/>
                <w:sz w:val="20"/>
                <w:szCs w:val="20"/>
              </w:rPr>
            </w:pPr>
          </w:p>
        </w:tc>
      </w:tr>
      <w:tr w14:paraId="5DE83255">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E6F14">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809A3">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94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DD75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县域内文物保护率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C12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C30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A65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2FF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327BC">
            <w:pPr>
              <w:jc w:val="center"/>
              <w:rPr>
                <w:rFonts w:hint="eastAsia" w:ascii="宋体" w:hAnsi="宋体" w:cs="宋体"/>
                <w:color w:val="000000"/>
                <w:sz w:val="20"/>
                <w:szCs w:val="20"/>
              </w:rPr>
            </w:pPr>
          </w:p>
        </w:tc>
      </w:tr>
      <w:tr w14:paraId="6C813B4A">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FDB52">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D969B">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78C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6F72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博物馆正常运转率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55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747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0D1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090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8E25F">
            <w:pPr>
              <w:jc w:val="center"/>
              <w:rPr>
                <w:rFonts w:hint="eastAsia" w:ascii="宋体" w:hAnsi="宋体" w:cs="宋体"/>
                <w:color w:val="000000"/>
                <w:sz w:val="20"/>
                <w:szCs w:val="20"/>
              </w:rPr>
            </w:pPr>
          </w:p>
        </w:tc>
      </w:tr>
      <w:tr w14:paraId="5037166E">
        <w:tblPrEx>
          <w:tblCellMar>
            <w:top w:w="0" w:type="dxa"/>
            <w:left w:w="108" w:type="dxa"/>
            <w:bottom w:w="0" w:type="dxa"/>
            <w:right w:w="108" w:type="dxa"/>
          </w:tblCellMar>
        </w:tblPrEx>
        <w:trPr>
          <w:trHeight w:val="288" w:hRule="atLeast"/>
          <w:jc w:val="center"/>
        </w:trPr>
        <w:tc>
          <w:tcPr>
            <w:tcW w:w="59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70CE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1974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8758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644852">
            <w:pPr>
              <w:jc w:val="center"/>
              <w:rPr>
                <w:rFonts w:hint="eastAsia" w:ascii="宋体" w:hAnsi="宋体" w:cs="宋体"/>
                <w:color w:val="000000"/>
                <w:sz w:val="20"/>
                <w:szCs w:val="20"/>
              </w:rPr>
            </w:pPr>
          </w:p>
        </w:tc>
      </w:tr>
    </w:tbl>
    <w:p w14:paraId="6C644CF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3"/>
        <w:gridCol w:w="492"/>
        <w:gridCol w:w="1250"/>
        <w:gridCol w:w="242"/>
        <w:gridCol w:w="1272"/>
        <w:gridCol w:w="491"/>
        <w:gridCol w:w="889"/>
        <w:gridCol w:w="783"/>
        <w:gridCol w:w="245"/>
        <w:gridCol w:w="404"/>
        <w:gridCol w:w="256"/>
        <w:gridCol w:w="554"/>
        <w:gridCol w:w="400"/>
        <w:gridCol w:w="751"/>
      </w:tblGrid>
      <w:tr w14:paraId="56640DDB">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EEA1CE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14:paraId="272E0F60">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7746406">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095B1B21">
        <w:tblPrEx>
          <w:tblCellMar>
            <w:top w:w="0" w:type="dxa"/>
            <w:left w:w="108" w:type="dxa"/>
            <w:bottom w:w="0" w:type="dxa"/>
            <w:right w:w="108" w:type="dxa"/>
          </w:tblCellMar>
        </w:tblPrEx>
        <w:trPr>
          <w:trHeight w:val="288" w:hRule="atLeast"/>
          <w:jc w:val="center"/>
        </w:trPr>
        <w:tc>
          <w:tcPr>
            <w:tcW w:w="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09D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53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17750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博物馆爱国主义教育基地补助经费</w:t>
            </w:r>
          </w:p>
        </w:tc>
      </w:tr>
      <w:tr w14:paraId="2A689AD8">
        <w:tblPrEx>
          <w:tblCellMar>
            <w:top w:w="0" w:type="dxa"/>
            <w:left w:w="108" w:type="dxa"/>
            <w:bottom w:w="0" w:type="dxa"/>
            <w:right w:w="108" w:type="dxa"/>
          </w:tblCellMar>
        </w:tblPrEx>
        <w:trPr>
          <w:trHeight w:val="288" w:hRule="atLeast"/>
          <w:jc w:val="center"/>
        </w:trPr>
        <w:tc>
          <w:tcPr>
            <w:tcW w:w="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2C81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1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5FB5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656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3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321B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14:paraId="2E33F95A">
        <w:tblPrEx>
          <w:tblCellMar>
            <w:top w:w="0" w:type="dxa"/>
            <w:left w:w="108" w:type="dxa"/>
            <w:bottom w:w="0" w:type="dxa"/>
            <w:right w:w="108" w:type="dxa"/>
          </w:tblCellMar>
        </w:tblPrEx>
        <w:trPr>
          <w:trHeight w:val="480" w:hRule="atLeast"/>
          <w:jc w:val="center"/>
        </w:trPr>
        <w:tc>
          <w:tcPr>
            <w:tcW w:w="9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0913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F11B0">
            <w:pPr>
              <w:jc w:val="center"/>
              <w:rPr>
                <w:rFonts w:hint="eastAsia" w:ascii="宋体" w:hAnsi="宋体" w:cs="宋体"/>
                <w:color w:val="000000"/>
                <w:sz w:val="20"/>
                <w:szCs w:val="20"/>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59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E689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35E2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2CB0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7F2B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6E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8FDB7DA">
        <w:tblPrEx>
          <w:tblCellMar>
            <w:top w:w="0" w:type="dxa"/>
            <w:left w:w="108" w:type="dxa"/>
            <w:bottom w:w="0" w:type="dxa"/>
            <w:right w:w="108" w:type="dxa"/>
          </w:tblCellMar>
        </w:tblPrEx>
        <w:trPr>
          <w:trHeight w:val="440" w:hRule="atLeast"/>
          <w:jc w:val="center"/>
        </w:trPr>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1B522">
            <w:pPr>
              <w:jc w:val="center"/>
              <w:rPr>
                <w:rFonts w:hint="eastAsia" w:ascii="宋体" w:hAnsi="宋体" w:cs="宋体"/>
                <w:color w:val="000000"/>
                <w:sz w:val="20"/>
                <w:szCs w:val="20"/>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BE9F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AD3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290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40D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BD9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FCA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2E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6BEC0683">
        <w:tblPrEx>
          <w:tblCellMar>
            <w:top w:w="0" w:type="dxa"/>
            <w:left w:w="108" w:type="dxa"/>
            <w:bottom w:w="0" w:type="dxa"/>
            <w:right w:w="108" w:type="dxa"/>
          </w:tblCellMar>
        </w:tblPrEx>
        <w:trPr>
          <w:trHeight w:val="440" w:hRule="atLeast"/>
          <w:jc w:val="center"/>
        </w:trPr>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2F013">
            <w:pPr>
              <w:jc w:val="center"/>
              <w:rPr>
                <w:rFonts w:hint="eastAsia" w:ascii="宋体" w:hAnsi="宋体" w:cs="宋体"/>
                <w:color w:val="000000"/>
                <w:sz w:val="20"/>
                <w:szCs w:val="20"/>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0E6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71E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AF88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17C3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B4CE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54E2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364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EC1D6CC">
        <w:tblPrEx>
          <w:tblCellMar>
            <w:top w:w="0" w:type="dxa"/>
            <w:left w:w="108" w:type="dxa"/>
            <w:bottom w:w="0" w:type="dxa"/>
            <w:right w:w="108" w:type="dxa"/>
          </w:tblCellMar>
        </w:tblPrEx>
        <w:trPr>
          <w:trHeight w:val="440" w:hRule="atLeast"/>
          <w:jc w:val="center"/>
        </w:trPr>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2D2B7">
            <w:pPr>
              <w:jc w:val="center"/>
              <w:rPr>
                <w:rFonts w:hint="eastAsia" w:ascii="宋体" w:hAnsi="宋体" w:cs="宋体"/>
                <w:color w:val="000000"/>
                <w:sz w:val="20"/>
                <w:szCs w:val="20"/>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1A8B86">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773BD">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FEE41">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F41039">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F48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1B0E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7B6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A6ED6C9">
        <w:tblPrEx>
          <w:tblCellMar>
            <w:top w:w="0" w:type="dxa"/>
            <w:left w:w="108" w:type="dxa"/>
            <w:bottom w:w="0" w:type="dxa"/>
            <w:right w:w="108" w:type="dxa"/>
          </w:tblCellMar>
        </w:tblPrEx>
        <w:trPr>
          <w:trHeight w:val="288"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5A18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472FE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3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A1C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63A52656">
        <w:tblPrEx>
          <w:tblCellMar>
            <w:top w:w="0" w:type="dxa"/>
            <w:left w:w="108" w:type="dxa"/>
            <w:bottom w:w="0" w:type="dxa"/>
            <w:right w:w="108" w:type="dxa"/>
          </w:tblCellMar>
        </w:tblPrEx>
        <w:trPr>
          <w:trHeight w:val="54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2B428">
            <w:pPr>
              <w:jc w:val="center"/>
              <w:rPr>
                <w:rFonts w:hint="eastAsia" w:ascii="宋体" w:hAnsi="宋体" w:cs="宋体"/>
                <w:color w:val="000000"/>
                <w:sz w:val="20"/>
                <w:szCs w:val="20"/>
              </w:rPr>
            </w:pPr>
          </w:p>
        </w:tc>
        <w:tc>
          <w:tcPr>
            <w:tcW w:w="4636" w:type="dxa"/>
            <w:gridSpan w:val="6"/>
            <w:tcBorders>
              <w:top w:val="single" w:color="000000" w:sz="4" w:space="0"/>
              <w:left w:val="single" w:color="000000" w:sz="4" w:space="0"/>
              <w:bottom w:val="single" w:color="000000" w:sz="4" w:space="0"/>
              <w:right w:val="single" w:color="000000" w:sz="4" w:space="0"/>
            </w:tcBorders>
            <w:shd w:val="clear" w:color="auto" w:fill="auto"/>
          </w:tcPr>
          <w:p w14:paraId="29366C40">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w:t>
            </w:r>
            <w:r>
              <w:rPr>
                <w:rFonts w:hint="eastAsia" w:ascii="宋体" w:hAnsi="宋体" w:cs="宋体"/>
                <w:color w:val="000000"/>
                <w:kern w:val="0"/>
                <w:sz w:val="20"/>
                <w:szCs w:val="20"/>
                <w:lang w:eastAsia="zh-CN" w:bidi="ar"/>
              </w:rPr>
              <w:t>〔2022〕74号</w:t>
            </w:r>
            <w:r>
              <w:rPr>
                <w:rFonts w:hint="eastAsia" w:ascii="宋体" w:hAnsi="宋体" w:cs="宋体"/>
                <w:color w:val="000000"/>
                <w:kern w:val="0"/>
                <w:sz w:val="20"/>
                <w:szCs w:val="20"/>
                <w:lang w:bidi="ar"/>
              </w:rPr>
              <w:t>文件要求，计划使用中央支持地方公共文化体系建设补助资金2万元，丰富爱国主义教育基地展厅内的文化阵地内容，为连接博物馆与社会服务搭建宣传平台。提升全民爱国意识，增强中华民族共同体意识。</w:t>
            </w:r>
          </w:p>
        </w:tc>
        <w:tc>
          <w:tcPr>
            <w:tcW w:w="3393" w:type="dxa"/>
            <w:gridSpan w:val="7"/>
            <w:tcBorders>
              <w:top w:val="single" w:color="000000" w:sz="4" w:space="0"/>
              <w:left w:val="single" w:color="000000" w:sz="4" w:space="0"/>
              <w:bottom w:val="single" w:color="000000" w:sz="4" w:space="0"/>
              <w:right w:val="single" w:color="000000" w:sz="4" w:space="0"/>
            </w:tcBorders>
            <w:shd w:val="clear" w:color="auto" w:fill="auto"/>
          </w:tcPr>
          <w:p w14:paraId="27E3A7B2">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截至本项目完成时限，我单位针对本项目已完成如下工作：完成爱国主义教育基地改造项目1个，全年免费</w:t>
            </w:r>
            <w:r>
              <w:rPr>
                <w:rFonts w:hint="eastAsia" w:ascii="宋体" w:hAnsi="宋体" w:cs="宋体"/>
                <w:color w:val="000000"/>
                <w:kern w:val="0"/>
                <w:sz w:val="20"/>
                <w:szCs w:val="20"/>
                <w:lang w:eastAsia="zh-CN" w:bidi="ar"/>
              </w:rPr>
              <w:t>开放</w:t>
            </w:r>
            <w:r>
              <w:rPr>
                <w:rFonts w:hint="eastAsia" w:ascii="宋体" w:hAnsi="宋体" w:cs="宋体"/>
                <w:color w:val="000000"/>
                <w:kern w:val="0"/>
                <w:sz w:val="20"/>
                <w:szCs w:val="20"/>
                <w:lang w:bidi="ar"/>
              </w:rPr>
              <w:t>达到300天，全年可接待参观人数达2万余人，丰富了爱国主义教育基地展厅内的文化阵地内容，提升了全民爱国意识，增强了中华民族共同体意识。</w:t>
            </w:r>
          </w:p>
        </w:tc>
      </w:tr>
      <w:tr w14:paraId="563F2500">
        <w:tblPrEx>
          <w:tblCellMar>
            <w:top w:w="0" w:type="dxa"/>
            <w:left w:w="108" w:type="dxa"/>
            <w:bottom w:w="0" w:type="dxa"/>
            <w:right w:w="108" w:type="dxa"/>
          </w:tblCellMar>
        </w:tblPrEx>
        <w:trPr>
          <w:trHeight w:val="312"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BCA6CE">
            <w:pPr>
              <w:jc w:val="center"/>
              <w:rPr>
                <w:rFonts w:hint="eastAsia" w:ascii="宋体" w:hAnsi="宋体" w:cs="宋体"/>
                <w:color w:val="000000"/>
                <w:sz w:val="20"/>
                <w:szCs w:val="20"/>
              </w:rPr>
            </w:pP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5806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FC4C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1F46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CE94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7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ED6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6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2466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8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7AFE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1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8924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6D2C96E3">
        <w:tblPrEx>
          <w:tblCellMar>
            <w:top w:w="0" w:type="dxa"/>
            <w:left w:w="108" w:type="dxa"/>
            <w:bottom w:w="0" w:type="dxa"/>
            <w:right w:w="108" w:type="dxa"/>
          </w:tblCellMar>
        </w:tblPrEx>
        <w:trPr>
          <w:trHeight w:val="312"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B54BB">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E5AB5">
            <w:pPr>
              <w:jc w:val="center"/>
              <w:rPr>
                <w:rFonts w:hint="eastAsia" w:ascii="宋体" w:hAnsi="宋体" w:cs="宋体"/>
                <w:color w:val="000000"/>
                <w:sz w:val="20"/>
                <w:szCs w:val="20"/>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AA440">
            <w:pPr>
              <w:jc w:val="center"/>
              <w:rPr>
                <w:rFonts w:hint="eastAsia" w:ascii="宋体" w:hAnsi="宋体" w:cs="宋体"/>
                <w:color w:val="000000"/>
                <w:sz w:val="20"/>
                <w:szCs w:val="20"/>
              </w:rPr>
            </w:pPr>
          </w:p>
        </w:tc>
        <w:tc>
          <w:tcPr>
            <w:tcW w:w="2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C0491">
            <w:pPr>
              <w:jc w:val="center"/>
              <w:rPr>
                <w:rFonts w:hint="eastAsia" w:ascii="宋体" w:hAnsi="宋体" w:cs="宋体"/>
                <w:color w:val="000000"/>
                <w:sz w:val="20"/>
                <w:szCs w:val="20"/>
              </w:rPr>
            </w:pP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7F5EE">
            <w:pPr>
              <w:jc w:val="center"/>
              <w:rPr>
                <w:rFonts w:hint="eastAsia" w:ascii="宋体" w:hAnsi="宋体" w:cs="宋体"/>
                <w:color w:val="000000"/>
                <w:sz w:val="20"/>
                <w:szCs w:val="20"/>
              </w:rPr>
            </w:pPr>
          </w:p>
        </w:tc>
        <w:tc>
          <w:tcPr>
            <w:tcW w:w="7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2A1B3">
            <w:pPr>
              <w:jc w:val="center"/>
              <w:rPr>
                <w:rFonts w:hint="eastAsia" w:ascii="宋体" w:hAnsi="宋体" w:cs="宋体"/>
                <w:color w:val="000000"/>
                <w:sz w:val="20"/>
                <w:szCs w:val="20"/>
              </w:rPr>
            </w:pPr>
          </w:p>
        </w:tc>
        <w:tc>
          <w:tcPr>
            <w:tcW w:w="6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21BC8">
            <w:pPr>
              <w:jc w:val="center"/>
              <w:rPr>
                <w:rFonts w:hint="eastAsia" w:ascii="宋体" w:hAnsi="宋体" w:cs="宋体"/>
                <w:color w:val="000000"/>
                <w:sz w:val="20"/>
                <w:szCs w:val="20"/>
              </w:rPr>
            </w:pPr>
          </w:p>
        </w:tc>
        <w:tc>
          <w:tcPr>
            <w:tcW w:w="8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093A1">
            <w:pPr>
              <w:jc w:val="center"/>
              <w:rPr>
                <w:rFonts w:hint="eastAsia" w:ascii="宋体" w:hAnsi="宋体" w:cs="宋体"/>
                <w:color w:val="000000"/>
                <w:sz w:val="20"/>
                <w:szCs w:val="20"/>
              </w:rPr>
            </w:pPr>
          </w:p>
        </w:tc>
        <w:tc>
          <w:tcPr>
            <w:tcW w:w="11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C8EBB">
            <w:pPr>
              <w:jc w:val="center"/>
              <w:rPr>
                <w:rFonts w:hint="eastAsia" w:ascii="宋体" w:hAnsi="宋体" w:cs="宋体"/>
                <w:color w:val="000000"/>
                <w:sz w:val="20"/>
                <w:szCs w:val="20"/>
              </w:rPr>
            </w:pPr>
          </w:p>
        </w:tc>
      </w:tr>
      <w:tr w14:paraId="0CBD2651">
        <w:tblPrEx>
          <w:tblCellMar>
            <w:top w:w="0" w:type="dxa"/>
            <w:left w:w="108" w:type="dxa"/>
            <w:bottom w:w="0" w:type="dxa"/>
            <w:right w:w="108" w:type="dxa"/>
          </w:tblCellMar>
        </w:tblPrEx>
        <w:trPr>
          <w:trHeight w:val="400"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585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FFE6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BFB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9B28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文化阵地建设改造维修数量</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28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=1个</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BF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=1个</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EA80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343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91497E">
            <w:pPr>
              <w:jc w:val="center"/>
              <w:rPr>
                <w:rFonts w:hint="eastAsia" w:ascii="宋体" w:hAnsi="宋体" w:cs="宋体"/>
                <w:color w:val="000000"/>
                <w:sz w:val="20"/>
                <w:szCs w:val="20"/>
              </w:rPr>
            </w:pPr>
          </w:p>
        </w:tc>
      </w:tr>
      <w:tr w14:paraId="1368C914">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3A61A">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80186">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F2F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DEF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文化阵地建设改造合格率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456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B71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68D5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CACC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05BE77">
            <w:pPr>
              <w:jc w:val="center"/>
              <w:rPr>
                <w:rFonts w:hint="eastAsia" w:ascii="宋体" w:hAnsi="宋体" w:cs="宋体"/>
                <w:color w:val="000000"/>
                <w:sz w:val="20"/>
                <w:szCs w:val="20"/>
              </w:rPr>
            </w:pPr>
          </w:p>
        </w:tc>
      </w:tr>
      <w:tr w14:paraId="67FCC39E">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6C2AF">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772D0">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C7B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AFFE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全年免费开放日</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896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&gt;=300天</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C0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=300天</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0F0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180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89158">
            <w:pPr>
              <w:jc w:val="center"/>
              <w:rPr>
                <w:rFonts w:hint="eastAsia" w:ascii="宋体" w:hAnsi="宋体" w:cs="宋体"/>
                <w:color w:val="000000"/>
                <w:sz w:val="20"/>
                <w:szCs w:val="20"/>
              </w:rPr>
            </w:pPr>
          </w:p>
        </w:tc>
      </w:tr>
      <w:tr w14:paraId="180536DE">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97EC1">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0A3B5">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518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B2C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项目按计划完成时间</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E7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&lt;=12个月</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06C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=12个月</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0D8F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CE4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5150D">
            <w:pPr>
              <w:jc w:val="center"/>
              <w:rPr>
                <w:rFonts w:hint="eastAsia" w:ascii="宋体" w:hAnsi="宋体" w:cs="宋体"/>
                <w:color w:val="000000"/>
                <w:sz w:val="20"/>
                <w:szCs w:val="20"/>
              </w:rPr>
            </w:pPr>
          </w:p>
        </w:tc>
      </w:tr>
      <w:tr w14:paraId="4A58B059">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69D66">
            <w:pPr>
              <w:jc w:val="center"/>
              <w:rPr>
                <w:rFonts w:hint="eastAsia" w:ascii="宋体" w:hAnsi="宋体" w:cs="宋体"/>
                <w:color w:val="000000"/>
                <w:sz w:val="20"/>
                <w:szCs w:val="20"/>
              </w:rPr>
            </w:pP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A105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6A3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28A5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187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10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0BC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152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9A055">
            <w:pPr>
              <w:jc w:val="center"/>
              <w:rPr>
                <w:rFonts w:hint="eastAsia" w:ascii="宋体" w:hAnsi="宋体" w:cs="宋体"/>
                <w:color w:val="000000"/>
                <w:sz w:val="20"/>
                <w:szCs w:val="20"/>
              </w:rPr>
            </w:pPr>
          </w:p>
        </w:tc>
      </w:tr>
      <w:tr w14:paraId="76D45F43">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5B88E">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5DB3C">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830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52A8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全年可接待参观人数</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D01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&gt;=300人</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281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=300人</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576B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C016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ABD14">
            <w:pPr>
              <w:jc w:val="center"/>
              <w:rPr>
                <w:rFonts w:hint="eastAsia" w:ascii="宋体" w:hAnsi="宋体" w:cs="宋体"/>
                <w:color w:val="000000"/>
                <w:sz w:val="20"/>
                <w:szCs w:val="20"/>
              </w:rPr>
            </w:pPr>
          </w:p>
        </w:tc>
      </w:tr>
      <w:tr w14:paraId="7BA4CF3E">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5C6A3">
            <w:pPr>
              <w:jc w:val="center"/>
              <w:rPr>
                <w:rFonts w:hint="eastAsia" w:ascii="宋体" w:hAnsi="宋体" w:cs="宋体"/>
                <w:color w:val="000000"/>
                <w:sz w:val="20"/>
                <w:szCs w:val="20"/>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08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D17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BE95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参观人员满意度</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8D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126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5BB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E53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9.25</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900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因展厅装修提升改造项目，有部分展厅临时未开放。</w:t>
            </w:r>
          </w:p>
        </w:tc>
      </w:tr>
      <w:tr w14:paraId="374CB49A">
        <w:tblPrEx>
          <w:tblCellMar>
            <w:top w:w="0" w:type="dxa"/>
            <w:left w:w="108" w:type="dxa"/>
            <w:bottom w:w="0" w:type="dxa"/>
            <w:right w:w="108" w:type="dxa"/>
          </w:tblCellMar>
        </w:tblPrEx>
        <w:trPr>
          <w:trHeight w:val="288" w:hRule="atLeast"/>
          <w:jc w:val="center"/>
        </w:trPr>
        <w:tc>
          <w:tcPr>
            <w:tcW w:w="59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CAF65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223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8A2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99.25分</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0CEF80">
            <w:pPr>
              <w:jc w:val="center"/>
              <w:rPr>
                <w:rFonts w:hint="eastAsia" w:ascii="宋体" w:hAnsi="宋体" w:cs="宋体"/>
                <w:color w:val="000000"/>
                <w:sz w:val="20"/>
                <w:szCs w:val="20"/>
              </w:rPr>
            </w:pPr>
          </w:p>
        </w:tc>
      </w:tr>
    </w:tbl>
    <w:p w14:paraId="14B94D24">
      <w:pPr>
        <w:ind w:firstLine="640" w:firstLineChars="200"/>
        <w:jc w:val="left"/>
        <w:rPr>
          <w:rFonts w:hint="eastAsia" w:ascii="黑体" w:hAnsi="黑体" w:eastAsia="黑体" w:cs="宋体"/>
          <w:bCs/>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506"/>
        <w:gridCol w:w="621"/>
        <w:gridCol w:w="1047"/>
        <w:gridCol w:w="974"/>
        <w:gridCol w:w="595"/>
        <w:gridCol w:w="902"/>
        <w:gridCol w:w="794"/>
        <w:gridCol w:w="260"/>
        <w:gridCol w:w="413"/>
        <w:gridCol w:w="271"/>
        <w:gridCol w:w="554"/>
        <w:gridCol w:w="406"/>
        <w:gridCol w:w="673"/>
      </w:tblGrid>
      <w:tr w14:paraId="29A0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14:paraId="23D125B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14:paraId="7633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14:paraId="0DE06FF5">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25150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12" w:type="dxa"/>
            <w:gridSpan w:val="2"/>
            <w:shd w:val="clear" w:color="auto" w:fill="auto"/>
            <w:vAlign w:val="center"/>
          </w:tcPr>
          <w:p w14:paraId="3BD613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510" w:type="dxa"/>
            <w:gridSpan w:val="12"/>
            <w:shd w:val="clear" w:color="auto" w:fill="auto"/>
            <w:vAlign w:val="center"/>
          </w:tcPr>
          <w:p w14:paraId="1EC5CB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博物馆馆藏文物预防性保护项目</w:t>
            </w:r>
          </w:p>
        </w:tc>
      </w:tr>
      <w:tr w14:paraId="7D74B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12" w:type="dxa"/>
            <w:gridSpan w:val="2"/>
            <w:shd w:val="clear" w:color="auto" w:fill="auto"/>
            <w:vAlign w:val="center"/>
          </w:tcPr>
          <w:p w14:paraId="32FA24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139" w:type="dxa"/>
            <w:gridSpan w:val="5"/>
            <w:shd w:val="clear" w:color="auto" w:fill="auto"/>
            <w:vAlign w:val="center"/>
          </w:tcPr>
          <w:p w14:paraId="415216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c>
          <w:tcPr>
            <w:tcW w:w="1054" w:type="dxa"/>
            <w:gridSpan w:val="2"/>
            <w:shd w:val="clear" w:color="auto" w:fill="auto"/>
            <w:vAlign w:val="center"/>
          </w:tcPr>
          <w:p w14:paraId="053012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317" w:type="dxa"/>
            <w:gridSpan w:val="5"/>
            <w:shd w:val="clear" w:color="auto" w:fill="auto"/>
            <w:vAlign w:val="center"/>
          </w:tcPr>
          <w:p w14:paraId="2051CE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14:paraId="3A2B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12" w:type="dxa"/>
            <w:gridSpan w:val="2"/>
            <w:vMerge w:val="restart"/>
            <w:shd w:val="clear" w:color="auto" w:fill="auto"/>
            <w:vAlign w:val="center"/>
          </w:tcPr>
          <w:p w14:paraId="01F278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668" w:type="dxa"/>
            <w:gridSpan w:val="2"/>
            <w:shd w:val="clear" w:color="auto" w:fill="auto"/>
            <w:vAlign w:val="center"/>
          </w:tcPr>
          <w:p w14:paraId="4E0B7A4E">
            <w:pPr>
              <w:jc w:val="center"/>
              <w:rPr>
                <w:rFonts w:hint="eastAsia" w:ascii="宋体" w:hAnsi="宋体" w:cs="宋体"/>
                <w:color w:val="000000"/>
                <w:sz w:val="20"/>
                <w:szCs w:val="20"/>
              </w:rPr>
            </w:pPr>
          </w:p>
        </w:tc>
        <w:tc>
          <w:tcPr>
            <w:tcW w:w="974" w:type="dxa"/>
            <w:shd w:val="clear" w:color="auto" w:fill="auto"/>
            <w:vAlign w:val="center"/>
          </w:tcPr>
          <w:p w14:paraId="295FE1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497" w:type="dxa"/>
            <w:gridSpan w:val="2"/>
            <w:shd w:val="clear" w:color="auto" w:fill="auto"/>
            <w:vAlign w:val="center"/>
          </w:tcPr>
          <w:p w14:paraId="5E6629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54" w:type="dxa"/>
            <w:gridSpan w:val="2"/>
            <w:shd w:val="clear" w:color="auto" w:fill="auto"/>
            <w:vAlign w:val="center"/>
          </w:tcPr>
          <w:p w14:paraId="104C23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84" w:type="dxa"/>
            <w:gridSpan w:val="2"/>
            <w:shd w:val="clear" w:color="auto" w:fill="auto"/>
            <w:vAlign w:val="center"/>
          </w:tcPr>
          <w:p w14:paraId="53F32C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60" w:type="dxa"/>
            <w:gridSpan w:val="2"/>
            <w:shd w:val="clear" w:color="auto" w:fill="auto"/>
            <w:vAlign w:val="center"/>
          </w:tcPr>
          <w:p w14:paraId="32F071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673" w:type="dxa"/>
            <w:shd w:val="clear" w:color="auto" w:fill="auto"/>
            <w:vAlign w:val="center"/>
          </w:tcPr>
          <w:p w14:paraId="4D39B6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793E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12" w:type="dxa"/>
            <w:gridSpan w:val="2"/>
            <w:vMerge w:val="continue"/>
            <w:shd w:val="clear" w:color="auto" w:fill="auto"/>
            <w:vAlign w:val="center"/>
          </w:tcPr>
          <w:p w14:paraId="36B938C0">
            <w:pPr>
              <w:jc w:val="center"/>
              <w:rPr>
                <w:rFonts w:hint="eastAsia" w:ascii="宋体" w:hAnsi="宋体" w:cs="宋体"/>
                <w:color w:val="000000"/>
                <w:sz w:val="20"/>
                <w:szCs w:val="20"/>
              </w:rPr>
            </w:pPr>
          </w:p>
        </w:tc>
        <w:tc>
          <w:tcPr>
            <w:tcW w:w="1668" w:type="dxa"/>
            <w:gridSpan w:val="2"/>
            <w:shd w:val="clear" w:color="auto" w:fill="auto"/>
            <w:vAlign w:val="center"/>
          </w:tcPr>
          <w:p w14:paraId="7AC2E6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974" w:type="dxa"/>
            <w:shd w:val="clear" w:color="auto" w:fill="auto"/>
            <w:vAlign w:val="center"/>
          </w:tcPr>
          <w:p w14:paraId="22230A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497" w:type="dxa"/>
            <w:gridSpan w:val="2"/>
            <w:shd w:val="clear" w:color="auto" w:fill="auto"/>
            <w:vAlign w:val="center"/>
          </w:tcPr>
          <w:p w14:paraId="354C99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054" w:type="dxa"/>
            <w:gridSpan w:val="2"/>
            <w:shd w:val="clear" w:color="auto" w:fill="auto"/>
            <w:vAlign w:val="center"/>
          </w:tcPr>
          <w:p w14:paraId="56B17C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684" w:type="dxa"/>
            <w:gridSpan w:val="2"/>
            <w:shd w:val="clear" w:color="auto" w:fill="auto"/>
            <w:vAlign w:val="center"/>
          </w:tcPr>
          <w:p w14:paraId="72036E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60" w:type="dxa"/>
            <w:gridSpan w:val="2"/>
            <w:shd w:val="clear" w:color="auto" w:fill="auto"/>
            <w:vAlign w:val="center"/>
          </w:tcPr>
          <w:p w14:paraId="08A20A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673" w:type="dxa"/>
            <w:shd w:val="clear" w:color="auto" w:fill="auto"/>
            <w:vAlign w:val="center"/>
          </w:tcPr>
          <w:p w14:paraId="4B7C43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311D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12" w:type="dxa"/>
            <w:gridSpan w:val="2"/>
            <w:vMerge w:val="continue"/>
            <w:shd w:val="clear" w:color="auto" w:fill="auto"/>
            <w:vAlign w:val="center"/>
          </w:tcPr>
          <w:p w14:paraId="5F7F9B45">
            <w:pPr>
              <w:jc w:val="center"/>
              <w:rPr>
                <w:rFonts w:hint="eastAsia" w:ascii="宋体" w:hAnsi="宋体" w:cs="宋体"/>
                <w:color w:val="000000"/>
                <w:sz w:val="20"/>
                <w:szCs w:val="20"/>
              </w:rPr>
            </w:pPr>
          </w:p>
        </w:tc>
        <w:tc>
          <w:tcPr>
            <w:tcW w:w="1668" w:type="dxa"/>
            <w:gridSpan w:val="2"/>
            <w:shd w:val="clear" w:color="auto" w:fill="auto"/>
            <w:vAlign w:val="center"/>
          </w:tcPr>
          <w:p w14:paraId="3D748F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974" w:type="dxa"/>
            <w:shd w:val="clear" w:color="auto" w:fill="auto"/>
            <w:vAlign w:val="center"/>
          </w:tcPr>
          <w:p w14:paraId="3BC2DD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497" w:type="dxa"/>
            <w:gridSpan w:val="2"/>
            <w:shd w:val="clear" w:color="auto" w:fill="auto"/>
            <w:vAlign w:val="center"/>
          </w:tcPr>
          <w:p w14:paraId="3DAFC6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054" w:type="dxa"/>
            <w:gridSpan w:val="2"/>
            <w:shd w:val="clear" w:color="auto" w:fill="auto"/>
            <w:vAlign w:val="center"/>
          </w:tcPr>
          <w:p w14:paraId="1B6406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684" w:type="dxa"/>
            <w:gridSpan w:val="2"/>
            <w:shd w:val="clear" w:color="auto" w:fill="auto"/>
            <w:vAlign w:val="center"/>
          </w:tcPr>
          <w:p w14:paraId="675B1C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60" w:type="dxa"/>
            <w:gridSpan w:val="2"/>
            <w:shd w:val="clear" w:color="auto" w:fill="auto"/>
            <w:vAlign w:val="center"/>
          </w:tcPr>
          <w:p w14:paraId="2D50AC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673" w:type="dxa"/>
            <w:shd w:val="clear" w:color="auto" w:fill="auto"/>
            <w:vAlign w:val="center"/>
          </w:tcPr>
          <w:p w14:paraId="0B00A6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D99A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12" w:type="dxa"/>
            <w:gridSpan w:val="2"/>
            <w:vMerge w:val="continue"/>
            <w:shd w:val="clear" w:color="auto" w:fill="auto"/>
            <w:vAlign w:val="center"/>
          </w:tcPr>
          <w:p w14:paraId="4D8B0E11">
            <w:pPr>
              <w:jc w:val="center"/>
              <w:rPr>
                <w:rFonts w:hint="eastAsia" w:ascii="宋体" w:hAnsi="宋体" w:cs="宋体"/>
                <w:color w:val="000000"/>
                <w:sz w:val="20"/>
                <w:szCs w:val="20"/>
              </w:rPr>
            </w:pPr>
          </w:p>
        </w:tc>
        <w:tc>
          <w:tcPr>
            <w:tcW w:w="1668" w:type="dxa"/>
            <w:gridSpan w:val="2"/>
            <w:shd w:val="clear" w:color="auto" w:fill="auto"/>
            <w:vAlign w:val="center"/>
          </w:tcPr>
          <w:p w14:paraId="6AA776B1">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974" w:type="dxa"/>
            <w:shd w:val="clear" w:color="auto" w:fill="auto"/>
            <w:vAlign w:val="center"/>
          </w:tcPr>
          <w:p w14:paraId="3581604F">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497" w:type="dxa"/>
            <w:gridSpan w:val="2"/>
            <w:shd w:val="clear" w:color="auto" w:fill="auto"/>
            <w:vAlign w:val="center"/>
          </w:tcPr>
          <w:p w14:paraId="3F5881C7">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54" w:type="dxa"/>
            <w:gridSpan w:val="2"/>
            <w:shd w:val="clear" w:color="auto" w:fill="auto"/>
            <w:vAlign w:val="center"/>
          </w:tcPr>
          <w:p w14:paraId="41778948">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84" w:type="dxa"/>
            <w:gridSpan w:val="2"/>
            <w:shd w:val="clear" w:color="auto" w:fill="auto"/>
            <w:vAlign w:val="center"/>
          </w:tcPr>
          <w:p w14:paraId="21DA6E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60" w:type="dxa"/>
            <w:gridSpan w:val="2"/>
            <w:shd w:val="clear" w:color="auto" w:fill="auto"/>
            <w:vAlign w:val="center"/>
          </w:tcPr>
          <w:p w14:paraId="53D826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673" w:type="dxa"/>
            <w:shd w:val="clear" w:color="auto" w:fill="auto"/>
            <w:vAlign w:val="center"/>
          </w:tcPr>
          <w:p w14:paraId="264419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1787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06" w:type="dxa"/>
            <w:vMerge w:val="restart"/>
            <w:shd w:val="clear" w:color="auto" w:fill="auto"/>
            <w:vAlign w:val="center"/>
          </w:tcPr>
          <w:p w14:paraId="29A367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45" w:type="dxa"/>
            <w:gridSpan w:val="6"/>
            <w:shd w:val="clear" w:color="auto" w:fill="auto"/>
            <w:vAlign w:val="center"/>
          </w:tcPr>
          <w:p w14:paraId="7CBE8C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371" w:type="dxa"/>
            <w:gridSpan w:val="7"/>
            <w:shd w:val="clear" w:color="auto" w:fill="auto"/>
            <w:vAlign w:val="center"/>
          </w:tcPr>
          <w:p w14:paraId="352F45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6708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06" w:type="dxa"/>
            <w:vMerge w:val="continue"/>
            <w:shd w:val="clear" w:color="auto" w:fill="auto"/>
            <w:vAlign w:val="center"/>
          </w:tcPr>
          <w:p w14:paraId="369BD2F8">
            <w:pPr>
              <w:jc w:val="center"/>
              <w:rPr>
                <w:rFonts w:hint="eastAsia" w:ascii="宋体" w:hAnsi="宋体" w:cs="宋体"/>
                <w:color w:val="000000"/>
                <w:sz w:val="20"/>
                <w:szCs w:val="20"/>
              </w:rPr>
            </w:pPr>
          </w:p>
        </w:tc>
        <w:tc>
          <w:tcPr>
            <w:tcW w:w="4645" w:type="dxa"/>
            <w:gridSpan w:val="6"/>
            <w:shd w:val="clear" w:color="auto" w:fill="auto"/>
          </w:tcPr>
          <w:p w14:paraId="12F955BA">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w:t>
            </w:r>
            <w:r>
              <w:rPr>
                <w:rFonts w:hint="eastAsia" w:ascii="宋体" w:hAnsi="宋体" w:cs="宋体"/>
                <w:color w:val="000000"/>
                <w:kern w:val="0"/>
                <w:sz w:val="20"/>
                <w:szCs w:val="20"/>
                <w:lang w:eastAsia="zh-CN" w:bidi="ar"/>
              </w:rPr>
              <w:t>〔2021〕77号</w:t>
            </w:r>
            <w:r>
              <w:rPr>
                <w:rFonts w:hint="eastAsia" w:ascii="宋体" w:hAnsi="宋体" w:cs="宋体"/>
                <w:color w:val="000000"/>
                <w:kern w:val="0"/>
                <w:sz w:val="20"/>
                <w:szCs w:val="20"/>
                <w:lang w:bidi="ar"/>
              </w:rPr>
              <w:t>文件要求，木垒哈萨克自治县博物馆对历史展厅进行提升改造，运用多种调控措施改善重点展柜微环境，对展厅展柜进行改造提升，根据文物特点为库房配置专业文物储藏柜，建立馆藏文物预防性保护管理机制，形成藏品保护管理、协调、监测、分析、处理、预案等一系列风险预控机制。</w:t>
            </w:r>
          </w:p>
        </w:tc>
        <w:tc>
          <w:tcPr>
            <w:tcW w:w="3371" w:type="dxa"/>
            <w:gridSpan w:val="7"/>
            <w:shd w:val="clear" w:color="auto" w:fill="auto"/>
          </w:tcPr>
          <w:p w14:paraId="025A8E0D">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eastAsia="zh-CN" w:bidi="ar"/>
              </w:rPr>
              <w:t>截至</w:t>
            </w:r>
            <w:r>
              <w:rPr>
                <w:rFonts w:hint="eastAsia" w:ascii="宋体" w:hAnsi="宋体" w:cs="宋体"/>
                <w:color w:val="000000"/>
                <w:kern w:val="0"/>
                <w:sz w:val="20"/>
                <w:szCs w:val="20"/>
                <w:lang w:bidi="ar"/>
              </w:rPr>
              <w:t>本项目完成时限，我单位针对本项目已完成如下工作：建设环境调控及监测系统1套，建造文物储藏柜架10个，建造文物展柜6个。对展厅展柜进行了改造提升，根据文物特点为库房配置专业文物储藏柜，建立了馆藏文物预防性保护管理机制，形成了藏品保护管理、协调、监测、分析、处理、预案等一系列风险预控机制。</w:t>
            </w:r>
          </w:p>
        </w:tc>
      </w:tr>
      <w:tr w14:paraId="75FD4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6" w:type="dxa"/>
            <w:vMerge w:val="restart"/>
            <w:shd w:val="clear" w:color="auto" w:fill="auto"/>
            <w:vAlign w:val="center"/>
          </w:tcPr>
          <w:p w14:paraId="40EC0E5C">
            <w:pPr>
              <w:jc w:val="center"/>
              <w:rPr>
                <w:rFonts w:hint="eastAsia" w:ascii="宋体" w:hAnsi="宋体" w:cs="宋体"/>
                <w:color w:val="000000"/>
                <w:sz w:val="20"/>
                <w:szCs w:val="20"/>
              </w:rPr>
            </w:pPr>
          </w:p>
        </w:tc>
        <w:tc>
          <w:tcPr>
            <w:tcW w:w="506" w:type="dxa"/>
            <w:vMerge w:val="restart"/>
            <w:shd w:val="clear" w:color="auto" w:fill="auto"/>
            <w:vAlign w:val="center"/>
          </w:tcPr>
          <w:p w14:paraId="3AEFAD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621" w:type="dxa"/>
            <w:vMerge w:val="restart"/>
            <w:shd w:val="clear" w:color="auto" w:fill="auto"/>
            <w:vAlign w:val="center"/>
          </w:tcPr>
          <w:p w14:paraId="17D445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616" w:type="dxa"/>
            <w:gridSpan w:val="3"/>
            <w:vMerge w:val="restart"/>
            <w:shd w:val="clear" w:color="auto" w:fill="auto"/>
            <w:vAlign w:val="center"/>
          </w:tcPr>
          <w:p w14:paraId="4587E1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902" w:type="dxa"/>
            <w:vMerge w:val="restart"/>
            <w:shd w:val="clear" w:color="auto" w:fill="auto"/>
            <w:vAlign w:val="center"/>
          </w:tcPr>
          <w:p w14:paraId="08D2C1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794" w:type="dxa"/>
            <w:vMerge w:val="restart"/>
            <w:shd w:val="clear" w:color="auto" w:fill="auto"/>
            <w:vAlign w:val="center"/>
          </w:tcPr>
          <w:p w14:paraId="184D10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673" w:type="dxa"/>
            <w:gridSpan w:val="2"/>
            <w:vMerge w:val="restart"/>
            <w:shd w:val="clear" w:color="auto" w:fill="auto"/>
            <w:vAlign w:val="center"/>
          </w:tcPr>
          <w:p w14:paraId="5F9198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825" w:type="dxa"/>
            <w:gridSpan w:val="2"/>
            <w:vMerge w:val="restart"/>
            <w:shd w:val="clear" w:color="auto" w:fill="auto"/>
            <w:vAlign w:val="center"/>
          </w:tcPr>
          <w:p w14:paraId="6F84B6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079" w:type="dxa"/>
            <w:gridSpan w:val="2"/>
            <w:vMerge w:val="restart"/>
            <w:shd w:val="clear" w:color="auto" w:fill="auto"/>
            <w:vAlign w:val="center"/>
          </w:tcPr>
          <w:p w14:paraId="516A4C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3A10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6" w:type="dxa"/>
            <w:vMerge w:val="continue"/>
            <w:shd w:val="clear" w:color="auto" w:fill="auto"/>
            <w:vAlign w:val="center"/>
          </w:tcPr>
          <w:p w14:paraId="1113D9B9">
            <w:pPr>
              <w:jc w:val="center"/>
              <w:rPr>
                <w:rFonts w:hint="eastAsia" w:ascii="宋体" w:hAnsi="宋体" w:cs="宋体"/>
                <w:color w:val="000000"/>
                <w:sz w:val="20"/>
                <w:szCs w:val="20"/>
              </w:rPr>
            </w:pPr>
          </w:p>
        </w:tc>
        <w:tc>
          <w:tcPr>
            <w:tcW w:w="506" w:type="dxa"/>
            <w:vMerge w:val="continue"/>
            <w:shd w:val="clear" w:color="auto" w:fill="auto"/>
            <w:vAlign w:val="center"/>
          </w:tcPr>
          <w:p w14:paraId="4194505E">
            <w:pPr>
              <w:jc w:val="center"/>
              <w:rPr>
                <w:rFonts w:hint="eastAsia" w:ascii="宋体" w:hAnsi="宋体" w:cs="宋体"/>
                <w:color w:val="000000"/>
                <w:sz w:val="20"/>
                <w:szCs w:val="20"/>
              </w:rPr>
            </w:pPr>
          </w:p>
        </w:tc>
        <w:tc>
          <w:tcPr>
            <w:tcW w:w="621" w:type="dxa"/>
            <w:vMerge w:val="continue"/>
            <w:shd w:val="clear" w:color="auto" w:fill="auto"/>
            <w:vAlign w:val="center"/>
          </w:tcPr>
          <w:p w14:paraId="71DC0EE5">
            <w:pPr>
              <w:jc w:val="center"/>
              <w:rPr>
                <w:rFonts w:hint="eastAsia" w:ascii="宋体" w:hAnsi="宋体" w:cs="宋体"/>
                <w:color w:val="000000"/>
                <w:sz w:val="20"/>
                <w:szCs w:val="20"/>
              </w:rPr>
            </w:pPr>
          </w:p>
        </w:tc>
        <w:tc>
          <w:tcPr>
            <w:tcW w:w="2616" w:type="dxa"/>
            <w:gridSpan w:val="3"/>
            <w:vMerge w:val="continue"/>
            <w:shd w:val="clear" w:color="auto" w:fill="auto"/>
            <w:vAlign w:val="center"/>
          </w:tcPr>
          <w:p w14:paraId="223464D9">
            <w:pPr>
              <w:jc w:val="center"/>
              <w:rPr>
                <w:rFonts w:hint="eastAsia" w:ascii="宋体" w:hAnsi="宋体" w:cs="宋体"/>
                <w:color w:val="000000"/>
                <w:sz w:val="20"/>
                <w:szCs w:val="20"/>
              </w:rPr>
            </w:pPr>
          </w:p>
        </w:tc>
        <w:tc>
          <w:tcPr>
            <w:tcW w:w="902" w:type="dxa"/>
            <w:vMerge w:val="continue"/>
            <w:shd w:val="clear" w:color="auto" w:fill="auto"/>
            <w:vAlign w:val="center"/>
          </w:tcPr>
          <w:p w14:paraId="4F0DA3D6">
            <w:pPr>
              <w:jc w:val="center"/>
              <w:rPr>
                <w:rFonts w:hint="eastAsia" w:ascii="宋体" w:hAnsi="宋体" w:cs="宋体"/>
                <w:color w:val="000000"/>
                <w:sz w:val="20"/>
                <w:szCs w:val="20"/>
              </w:rPr>
            </w:pPr>
          </w:p>
        </w:tc>
        <w:tc>
          <w:tcPr>
            <w:tcW w:w="794" w:type="dxa"/>
            <w:vMerge w:val="continue"/>
            <w:shd w:val="clear" w:color="auto" w:fill="auto"/>
            <w:vAlign w:val="center"/>
          </w:tcPr>
          <w:p w14:paraId="59531BC3">
            <w:pPr>
              <w:jc w:val="center"/>
              <w:rPr>
                <w:rFonts w:hint="eastAsia" w:ascii="宋体" w:hAnsi="宋体" w:cs="宋体"/>
                <w:color w:val="000000"/>
                <w:sz w:val="20"/>
                <w:szCs w:val="20"/>
              </w:rPr>
            </w:pPr>
          </w:p>
        </w:tc>
        <w:tc>
          <w:tcPr>
            <w:tcW w:w="673" w:type="dxa"/>
            <w:gridSpan w:val="2"/>
            <w:vMerge w:val="continue"/>
            <w:shd w:val="clear" w:color="auto" w:fill="auto"/>
            <w:vAlign w:val="center"/>
          </w:tcPr>
          <w:p w14:paraId="645CEB91">
            <w:pPr>
              <w:jc w:val="center"/>
              <w:rPr>
                <w:rFonts w:hint="eastAsia" w:ascii="宋体" w:hAnsi="宋体" w:cs="宋体"/>
                <w:color w:val="000000"/>
                <w:sz w:val="20"/>
                <w:szCs w:val="20"/>
              </w:rPr>
            </w:pPr>
          </w:p>
        </w:tc>
        <w:tc>
          <w:tcPr>
            <w:tcW w:w="825" w:type="dxa"/>
            <w:gridSpan w:val="2"/>
            <w:vMerge w:val="continue"/>
            <w:shd w:val="clear" w:color="auto" w:fill="auto"/>
            <w:vAlign w:val="center"/>
          </w:tcPr>
          <w:p w14:paraId="5BC610CF">
            <w:pPr>
              <w:jc w:val="center"/>
              <w:rPr>
                <w:rFonts w:hint="eastAsia" w:ascii="宋体" w:hAnsi="宋体" w:cs="宋体"/>
                <w:color w:val="000000"/>
                <w:sz w:val="20"/>
                <w:szCs w:val="20"/>
              </w:rPr>
            </w:pPr>
          </w:p>
        </w:tc>
        <w:tc>
          <w:tcPr>
            <w:tcW w:w="1079" w:type="dxa"/>
            <w:gridSpan w:val="2"/>
            <w:vMerge w:val="continue"/>
            <w:shd w:val="clear" w:color="auto" w:fill="auto"/>
            <w:vAlign w:val="center"/>
          </w:tcPr>
          <w:p w14:paraId="587FCE0F">
            <w:pPr>
              <w:jc w:val="center"/>
              <w:rPr>
                <w:rFonts w:hint="eastAsia" w:ascii="宋体" w:hAnsi="宋体" w:cs="宋体"/>
                <w:color w:val="000000"/>
                <w:sz w:val="20"/>
                <w:szCs w:val="20"/>
              </w:rPr>
            </w:pPr>
          </w:p>
        </w:tc>
      </w:tr>
      <w:tr w14:paraId="58E8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restart"/>
            <w:shd w:val="clear" w:color="auto" w:fill="auto"/>
            <w:vAlign w:val="center"/>
          </w:tcPr>
          <w:p w14:paraId="36A49C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506" w:type="dxa"/>
            <w:vMerge w:val="restart"/>
            <w:shd w:val="clear" w:color="auto" w:fill="auto"/>
            <w:vAlign w:val="center"/>
          </w:tcPr>
          <w:p w14:paraId="64132A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621" w:type="dxa"/>
            <w:shd w:val="clear" w:color="auto" w:fill="auto"/>
            <w:vAlign w:val="center"/>
          </w:tcPr>
          <w:p w14:paraId="4E5B86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shd w:val="clear" w:color="auto" w:fill="auto"/>
            <w:noWrap/>
            <w:vAlign w:val="center"/>
          </w:tcPr>
          <w:p w14:paraId="28488C8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建设环境调控及监测系统</w:t>
            </w:r>
          </w:p>
        </w:tc>
        <w:tc>
          <w:tcPr>
            <w:tcW w:w="902" w:type="dxa"/>
            <w:shd w:val="clear" w:color="auto" w:fill="auto"/>
            <w:vAlign w:val="center"/>
          </w:tcPr>
          <w:p w14:paraId="024400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=1套</w:t>
            </w:r>
          </w:p>
        </w:tc>
        <w:tc>
          <w:tcPr>
            <w:tcW w:w="794" w:type="dxa"/>
            <w:shd w:val="clear" w:color="auto" w:fill="auto"/>
            <w:vAlign w:val="center"/>
          </w:tcPr>
          <w:p w14:paraId="05C745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=1套</w:t>
            </w:r>
          </w:p>
        </w:tc>
        <w:tc>
          <w:tcPr>
            <w:tcW w:w="673" w:type="dxa"/>
            <w:gridSpan w:val="2"/>
            <w:shd w:val="clear" w:color="auto" w:fill="auto"/>
            <w:vAlign w:val="center"/>
          </w:tcPr>
          <w:p w14:paraId="48BDEA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38C780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14:paraId="5894A0C4">
            <w:pPr>
              <w:jc w:val="center"/>
              <w:rPr>
                <w:rFonts w:hint="eastAsia" w:ascii="宋体" w:hAnsi="宋体" w:cs="宋体"/>
                <w:color w:val="000000"/>
                <w:sz w:val="20"/>
                <w:szCs w:val="20"/>
              </w:rPr>
            </w:pPr>
          </w:p>
        </w:tc>
      </w:tr>
      <w:tr w14:paraId="5D99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64E08A57">
            <w:pPr>
              <w:jc w:val="center"/>
              <w:rPr>
                <w:rFonts w:hint="eastAsia" w:ascii="宋体" w:hAnsi="宋体" w:cs="宋体"/>
                <w:color w:val="000000"/>
                <w:sz w:val="20"/>
                <w:szCs w:val="20"/>
              </w:rPr>
            </w:pPr>
          </w:p>
        </w:tc>
        <w:tc>
          <w:tcPr>
            <w:tcW w:w="506" w:type="dxa"/>
            <w:vMerge w:val="continue"/>
            <w:shd w:val="clear" w:color="auto" w:fill="auto"/>
            <w:vAlign w:val="center"/>
          </w:tcPr>
          <w:p w14:paraId="1528078C">
            <w:pPr>
              <w:jc w:val="center"/>
              <w:rPr>
                <w:rFonts w:hint="eastAsia" w:ascii="宋体" w:hAnsi="宋体" w:cs="宋体"/>
                <w:color w:val="000000"/>
                <w:sz w:val="20"/>
                <w:szCs w:val="20"/>
              </w:rPr>
            </w:pPr>
          </w:p>
        </w:tc>
        <w:tc>
          <w:tcPr>
            <w:tcW w:w="621" w:type="dxa"/>
            <w:shd w:val="clear" w:color="auto" w:fill="auto"/>
            <w:vAlign w:val="center"/>
          </w:tcPr>
          <w:p w14:paraId="3BB634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shd w:val="clear" w:color="auto" w:fill="auto"/>
            <w:noWrap/>
            <w:vAlign w:val="center"/>
          </w:tcPr>
          <w:p w14:paraId="5807925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建造文物储藏柜架</w:t>
            </w:r>
          </w:p>
        </w:tc>
        <w:tc>
          <w:tcPr>
            <w:tcW w:w="902" w:type="dxa"/>
            <w:shd w:val="clear" w:color="auto" w:fill="auto"/>
            <w:vAlign w:val="center"/>
          </w:tcPr>
          <w:p w14:paraId="35852C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=10个</w:t>
            </w:r>
          </w:p>
        </w:tc>
        <w:tc>
          <w:tcPr>
            <w:tcW w:w="794" w:type="dxa"/>
            <w:shd w:val="clear" w:color="auto" w:fill="auto"/>
            <w:vAlign w:val="center"/>
          </w:tcPr>
          <w:p w14:paraId="51092D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=10个</w:t>
            </w:r>
          </w:p>
        </w:tc>
        <w:tc>
          <w:tcPr>
            <w:tcW w:w="673" w:type="dxa"/>
            <w:gridSpan w:val="2"/>
            <w:shd w:val="clear" w:color="auto" w:fill="auto"/>
            <w:vAlign w:val="center"/>
          </w:tcPr>
          <w:p w14:paraId="681408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63A734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209DB79B">
            <w:pPr>
              <w:jc w:val="center"/>
              <w:rPr>
                <w:rFonts w:hint="eastAsia" w:ascii="宋体" w:hAnsi="宋体" w:cs="宋体"/>
                <w:color w:val="000000"/>
                <w:sz w:val="20"/>
                <w:szCs w:val="20"/>
              </w:rPr>
            </w:pPr>
          </w:p>
        </w:tc>
      </w:tr>
      <w:tr w14:paraId="48C5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65550AA6">
            <w:pPr>
              <w:jc w:val="center"/>
              <w:rPr>
                <w:rFonts w:hint="eastAsia" w:ascii="宋体" w:hAnsi="宋体" w:cs="宋体"/>
                <w:color w:val="000000"/>
                <w:sz w:val="20"/>
                <w:szCs w:val="20"/>
              </w:rPr>
            </w:pPr>
          </w:p>
        </w:tc>
        <w:tc>
          <w:tcPr>
            <w:tcW w:w="506" w:type="dxa"/>
            <w:vMerge w:val="continue"/>
            <w:shd w:val="clear" w:color="auto" w:fill="auto"/>
            <w:vAlign w:val="center"/>
          </w:tcPr>
          <w:p w14:paraId="0A8678C5">
            <w:pPr>
              <w:jc w:val="center"/>
              <w:rPr>
                <w:rFonts w:hint="eastAsia" w:ascii="宋体" w:hAnsi="宋体" w:cs="宋体"/>
                <w:color w:val="000000"/>
                <w:sz w:val="20"/>
                <w:szCs w:val="20"/>
              </w:rPr>
            </w:pPr>
          </w:p>
        </w:tc>
        <w:tc>
          <w:tcPr>
            <w:tcW w:w="621" w:type="dxa"/>
            <w:shd w:val="clear" w:color="auto" w:fill="auto"/>
            <w:vAlign w:val="center"/>
          </w:tcPr>
          <w:p w14:paraId="63D3D7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shd w:val="clear" w:color="auto" w:fill="auto"/>
            <w:noWrap/>
            <w:vAlign w:val="center"/>
          </w:tcPr>
          <w:p w14:paraId="5107392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建造文物展柜</w:t>
            </w:r>
          </w:p>
        </w:tc>
        <w:tc>
          <w:tcPr>
            <w:tcW w:w="902" w:type="dxa"/>
            <w:shd w:val="clear" w:color="auto" w:fill="auto"/>
            <w:vAlign w:val="center"/>
          </w:tcPr>
          <w:p w14:paraId="1D289D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794" w:type="dxa"/>
            <w:shd w:val="clear" w:color="auto" w:fill="auto"/>
            <w:vAlign w:val="center"/>
          </w:tcPr>
          <w:p w14:paraId="3A39CA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673" w:type="dxa"/>
            <w:gridSpan w:val="2"/>
            <w:shd w:val="clear" w:color="auto" w:fill="auto"/>
            <w:vAlign w:val="center"/>
          </w:tcPr>
          <w:p w14:paraId="562845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61FFD2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2E493011">
            <w:pPr>
              <w:jc w:val="center"/>
              <w:rPr>
                <w:rFonts w:hint="eastAsia" w:ascii="宋体" w:hAnsi="宋体" w:cs="宋体"/>
                <w:color w:val="000000"/>
                <w:sz w:val="20"/>
                <w:szCs w:val="20"/>
              </w:rPr>
            </w:pPr>
          </w:p>
        </w:tc>
      </w:tr>
      <w:tr w14:paraId="2889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68C16859">
            <w:pPr>
              <w:jc w:val="center"/>
              <w:rPr>
                <w:rFonts w:hint="eastAsia" w:ascii="宋体" w:hAnsi="宋体" w:cs="宋体"/>
                <w:color w:val="000000"/>
                <w:sz w:val="20"/>
                <w:szCs w:val="20"/>
              </w:rPr>
            </w:pPr>
          </w:p>
        </w:tc>
        <w:tc>
          <w:tcPr>
            <w:tcW w:w="506" w:type="dxa"/>
            <w:vMerge w:val="continue"/>
            <w:shd w:val="clear" w:color="auto" w:fill="auto"/>
            <w:vAlign w:val="center"/>
          </w:tcPr>
          <w:p w14:paraId="5ECD055B">
            <w:pPr>
              <w:jc w:val="center"/>
              <w:rPr>
                <w:rFonts w:hint="eastAsia" w:ascii="宋体" w:hAnsi="宋体" w:cs="宋体"/>
                <w:color w:val="000000"/>
                <w:sz w:val="20"/>
                <w:szCs w:val="20"/>
              </w:rPr>
            </w:pPr>
          </w:p>
        </w:tc>
        <w:tc>
          <w:tcPr>
            <w:tcW w:w="621" w:type="dxa"/>
            <w:shd w:val="clear" w:color="auto" w:fill="auto"/>
            <w:vAlign w:val="center"/>
          </w:tcPr>
          <w:p w14:paraId="7A536A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0" w:type="auto"/>
            <w:gridSpan w:val="3"/>
            <w:shd w:val="clear" w:color="auto" w:fill="auto"/>
            <w:noWrap/>
            <w:vAlign w:val="center"/>
          </w:tcPr>
          <w:p w14:paraId="6D38B02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项目验收合格率</w:t>
            </w:r>
          </w:p>
        </w:tc>
        <w:tc>
          <w:tcPr>
            <w:tcW w:w="902" w:type="dxa"/>
            <w:shd w:val="clear" w:color="auto" w:fill="auto"/>
            <w:vAlign w:val="center"/>
          </w:tcPr>
          <w:p w14:paraId="32CB98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94" w:type="dxa"/>
            <w:shd w:val="clear" w:color="auto" w:fill="auto"/>
            <w:vAlign w:val="center"/>
          </w:tcPr>
          <w:p w14:paraId="479B8F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73" w:type="dxa"/>
            <w:gridSpan w:val="2"/>
            <w:shd w:val="clear" w:color="auto" w:fill="auto"/>
            <w:vAlign w:val="center"/>
          </w:tcPr>
          <w:p w14:paraId="35DD4F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062DD9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280A270E">
            <w:pPr>
              <w:jc w:val="center"/>
              <w:rPr>
                <w:rFonts w:hint="eastAsia" w:ascii="宋体" w:hAnsi="宋体" w:cs="宋体"/>
                <w:color w:val="000000"/>
                <w:sz w:val="20"/>
                <w:szCs w:val="20"/>
              </w:rPr>
            </w:pPr>
          </w:p>
        </w:tc>
      </w:tr>
      <w:tr w14:paraId="2DE28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2D0938E5">
            <w:pPr>
              <w:jc w:val="center"/>
              <w:rPr>
                <w:rFonts w:hint="eastAsia" w:ascii="宋体" w:hAnsi="宋体" w:cs="宋体"/>
                <w:color w:val="000000"/>
                <w:sz w:val="20"/>
                <w:szCs w:val="20"/>
              </w:rPr>
            </w:pPr>
          </w:p>
        </w:tc>
        <w:tc>
          <w:tcPr>
            <w:tcW w:w="506" w:type="dxa"/>
            <w:vMerge w:val="continue"/>
            <w:shd w:val="clear" w:color="auto" w:fill="auto"/>
            <w:vAlign w:val="center"/>
          </w:tcPr>
          <w:p w14:paraId="55D8770A">
            <w:pPr>
              <w:jc w:val="center"/>
              <w:rPr>
                <w:rFonts w:hint="eastAsia" w:ascii="宋体" w:hAnsi="宋体" w:cs="宋体"/>
                <w:color w:val="000000"/>
                <w:sz w:val="20"/>
                <w:szCs w:val="20"/>
              </w:rPr>
            </w:pPr>
          </w:p>
        </w:tc>
        <w:tc>
          <w:tcPr>
            <w:tcW w:w="621" w:type="dxa"/>
            <w:shd w:val="clear" w:color="auto" w:fill="auto"/>
            <w:vAlign w:val="center"/>
          </w:tcPr>
          <w:p w14:paraId="6C5BB0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0" w:type="auto"/>
            <w:gridSpan w:val="3"/>
            <w:shd w:val="clear" w:color="auto" w:fill="auto"/>
            <w:noWrap/>
            <w:vAlign w:val="center"/>
          </w:tcPr>
          <w:p w14:paraId="148627A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系统故障率</w:t>
            </w:r>
          </w:p>
        </w:tc>
        <w:tc>
          <w:tcPr>
            <w:tcW w:w="902" w:type="dxa"/>
            <w:shd w:val="clear" w:color="auto" w:fill="auto"/>
            <w:vAlign w:val="center"/>
          </w:tcPr>
          <w:p w14:paraId="79ABEA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&lt;=3%</w:t>
            </w:r>
          </w:p>
        </w:tc>
        <w:tc>
          <w:tcPr>
            <w:tcW w:w="794" w:type="dxa"/>
            <w:shd w:val="clear" w:color="auto" w:fill="auto"/>
            <w:vAlign w:val="center"/>
          </w:tcPr>
          <w:p w14:paraId="534BC5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673" w:type="dxa"/>
            <w:gridSpan w:val="2"/>
            <w:shd w:val="clear" w:color="auto" w:fill="auto"/>
            <w:vAlign w:val="center"/>
          </w:tcPr>
          <w:p w14:paraId="1CD3BC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01EA8B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1DF728BD">
            <w:pPr>
              <w:jc w:val="center"/>
              <w:rPr>
                <w:rFonts w:hint="eastAsia" w:ascii="宋体" w:hAnsi="宋体" w:cs="宋体"/>
                <w:color w:val="000000"/>
                <w:sz w:val="20"/>
                <w:szCs w:val="20"/>
              </w:rPr>
            </w:pPr>
          </w:p>
        </w:tc>
      </w:tr>
      <w:tr w14:paraId="5D12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67B01AAC">
            <w:pPr>
              <w:jc w:val="center"/>
              <w:rPr>
                <w:rFonts w:hint="eastAsia" w:ascii="宋体" w:hAnsi="宋体" w:cs="宋体"/>
                <w:color w:val="000000"/>
                <w:sz w:val="20"/>
                <w:szCs w:val="20"/>
              </w:rPr>
            </w:pPr>
          </w:p>
        </w:tc>
        <w:tc>
          <w:tcPr>
            <w:tcW w:w="506" w:type="dxa"/>
            <w:vMerge w:val="continue"/>
            <w:shd w:val="clear" w:color="auto" w:fill="auto"/>
            <w:vAlign w:val="center"/>
          </w:tcPr>
          <w:p w14:paraId="69FC255A">
            <w:pPr>
              <w:jc w:val="center"/>
              <w:rPr>
                <w:rFonts w:hint="eastAsia" w:ascii="宋体" w:hAnsi="宋体" w:cs="宋体"/>
                <w:color w:val="000000"/>
                <w:sz w:val="20"/>
                <w:szCs w:val="20"/>
              </w:rPr>
            </w:pPr>
          </w:p>
        </w:tc>
        <w:tc>
          <w:tcPr>
            <w:tcW w:w="621" w:type="dxa"/>
            <w:shd w:val="clear" w:color="auto" w:fill="auto"/>
            <w:vAlign w:val="center"/>
          </w:tcPr>
          <w:p w14:paraId="0931EA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0" w:type="auto"/>
            <w:gridSpan w:val="3"/>
            <w:shd w:val="clear" w:color="auto" w:fill="auto"/>
            <w:noWrap/>
            <w:vAlign w:val="center"/>
          </w:tcPr>
          <w:p w14:paraId="5B10474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文物损毁、违规修复发生率</w:t>
            </w:r>
          </w:p>
        </w:tc>
        <w:tc>
          <w:tcPr>
            <w:tcW w:w="902" w:type="dxa"/>
            <w:shd w:val="clear" w:color="auto" w:fill="auto"/>
            <w:vAlign w:val="center"/>
          </w:tcPr>
          <w:p w14:paraId="1A8B02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&lt;=0.5%</w:t>
            </w:r>
          </w:p>
        </w:tc>
        <w:tc>
          <w:tcPr>
            <w:tcW w:w="794" w:type="dxa"/>
            <w:shd w:val="clear" w:color="auto" w:fill="auto"/>
            <w:vAlign w:val="center"/>
          </w:tcPr>
          <w:p w14:paraId="61F459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673" w:type="dxa"/>
            <w:gridSpan w:val="2"/>
            <w:shd w:val="clear" w:color="auto" w:fill="auto"/>
            <w:vAlign w:val="center"/>
          </w:tcPr>
          <w:p w14:paraId="760E42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1C09E9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4352DDC2">
            <w:pPr>
              <w:jc w:val="center"/>
              <w:rPr>
                <w:rFonts w:hint="eastAsia" w:ascii="宋体" w:hAnsi="宋体" w:cs="宋体"/>
                <w:color w:val="000000"/>
                <w:sz w:val="20"/>
                <w:szCs w:val="20"/>
              </w:rPr>
            </w:pPr>
          </w:p>
        </w:tc>
      </w:tr>
      <w:tr w14:paraId="5813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1E40D9DA">
            <w:pPr>
              <w:jc w:val="center"/>
              <w:rPr>
                <w:rFonts w:hint="eastAsia" w:ascii="宋体" w:hAnsi="宋体" w:cs="宋体"/>
                <w:color w:val="000000"/>
                <w:sz w:val="20"/>
                <w:szCs w:val="20"/>
              </w:rPr>
            </w:pPr>
          </w:p>
        </w:tc>
        <w:tc>
          <w:tcPr>
            <w:tcW w:w="506" w:type="dxa"/>
            <w:vMerge w:val="continue"/>
            <w:shd w:val="clear" w:color="auto" w:fill="auto"/>
            <w:vAlign w:val="center"/>
          </w:tcPr>
          <w:p w14:paraId="38F237A5">
            <w:pPr>
              <w:jc w:val="center"/>
              <w:rPr>
                <w:rFonts w:hint="eastAsia" w:ascii="宋体" w:hAnsi="宋体" w:cs="宋体"/>
                <w:color w:val="000000"/>
                <w:sz w:val="20"/>
                <w:szCs w:val="20"/>
              </w:rPr>
            </w:pPr>
          </w:p>
        </w:tc>
        <w:tc>
          <w:tcPr>
            <w:tcW w:w="621" w:type="dxa"/>
            <w:shd w:val="clear" w:color="auto" w:fill="auto"/>
            <w:vAlign w:val="center"/>
          </w:tcPr>
          <w:p w14:paraId="3F4D78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0" w:type="auto"/>
            <w:gridSpan w:val="3"/>
            <w:shd w:val="clear" w:color="auto" w:fill="auto"/>
            <w:noWrap/>
            <w:vAlign w:val="center"/>
          </w:tcPr>
          <w:p w14:paraId="1A0D072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项目按计划完成时间</w:t>
            </w:r>
          </w:p>
        </w:tc>
        <w:tc>
          <w:tcPr>
            <w:tcW w:w="902" w:type="dxa"/>
            <w:shd w:val="clear" w:color="auto" w:fill="auto"/>
            <w:vAlign w:val="center"/>
          </w:tcPr>
          <w:p w14:paraId="00D738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&lt;=12个月</w:t>
            </w:r>
          </w:p>
        </w:tc>
        <w:tc>
          <w:tcPr>
            <w:tcW w:w="794" w:type="dxa"/>
            <w:shd w:val="clear" w:color="auto" w:fill="auto"/>
            <w:vAlign w:val="center"/>
          </w:tcPr>
          <w:p w14:paraId="5BA748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=12个月</w:t>
            </w:r>
          </w:p>
        </w:tc>
        <w:tc>
          <w:tcPr>
            <w:tcW w:w="673" w:type="dxa"/>
            <w:gridSpan w:val="2"/>
            <w:shd w:val="clear" w:color="auto" w:fill="auto"/>
            <w:vAlign w:val="center"/>
          </w:tcPr>
          <w:p w14:paraId="3B9BF5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691DA7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31B717A7">
            <w:pPr>
              <w:jc w:val="center"/>
              <w:rPr>
                <w:rFonts w:hint="eastAsia" w:ascii="宋体" w:hAnsi="宋体" w:cs="宋体"/>
                <w:color w:val="000000"/>
                <w:sz w:val="20"/>
                <w:szCs w:val="20"/>
              </w:rPr>
            </w:pPr>
          </w:p>
        </w:tc>
      </w:tr>
      <w:tr w14:paraId="4AB2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7590F3E1">
            <w:pPr>
              <w:jc w:val="center"/>
              <w:rPr>
                <w:rFonts w:hint="eastAsia" w:ascii="宋体" w:hAnsi="宋体" w:cs="宋体"/>
                <w:color w:val="000000"/>
                <w:sz w:val="20"/>
                <w:szCs w:val="20"/>
              </w:rPr>
            </w:pPr>
          </w:p>
        </w:tc>
        <w:tc>
          <w:tcPr>
            <w:tcW w:w="506" w:type="dxa"/>
            <w:vMerge w:val="restart"/>
            <w:shd w:val="clear" w:color="auto" w:fill="auto"/>
            <w:vAlign w:val="center"/>
          </w:tcPr>
          <w:p w14:paraId="54E8E5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621" w:type="dxa"/>
            <w:shd w:val="clear" w:color="auto" w:fill="auto"/>
            <w:vAlign w:val="center"/>
          </w:tcPr>
          <w:p w14:paraId="05AC61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0" w:type="auto"/>
            <w:gridSpan w:val="3"/>
            <w:shd w:val="clear" w:color="auto" w:fill="auto"/>
            <w:noWrap/>
            <w:vAlign w:val="center"/>
          </w:tcPr>
          <w:p w14:paraId="41303A9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902" w:type="dxa"/>
            <w:shd w:val="clear" w:color="auto" w:fill="auto"/>
            <w:vAlign w:val="center"/>
          </w:tcPr>
          <w:p w14:paraId="724422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794" w:type="dxa"/>
            <w:shd w:val="clear" w:color="auto" w:fill="auto"/>
            <w:vAlign w:val="center"/>
          </w:tcPr>
          <w:p w14:paraId="3AEA51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73" w:type="dxa"/>
            <w:gridSpan w:val="2"/>
            <w:shd w:val="clear" w:color="auto" w:fill="auto"/>
            <w:vAlign w:val="center"/>
          </w:tcPr>
          <w:p w14:paraId="4A4DE5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2970CB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14:paraId="673DD8C8">
            <w:pPr>
              <w:jc w:val="center"/>
              <w:rPr>
                <w:rFonts w:hint="eastAsia" w:ascii="宋体" w:hAnsi="宋体" w:cs="宋体"/>
                <w:color w:val="000000"/>
                <w:sz w:val="20"/>
                <w:szCs w:val="20"/>
              </w:rPr>
            </w:pPr>
          </w:p>
        </w:tc>
      </w:tr>
      <w:tr w14:paraId="1CF0B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365F0A9C">
            <w:pPr>
              <w:jc w:val="center"/>
              <w:rPr>
                <w:rFonts w:hint="eastAsia" w:ascii="宋体" w:hAnsi="宋体" w:cs="宋体"/>
                <w:color w:val="000000"/>
                <w:sz w:val="20"/>
                <w:szCs w:val="20"/>
              </w:rPr>
            </w:pPr>
          </w:p>
        </w:tc>
        <w:tc>
          <w:tcPr>
            <w:tcW w:w="506" w:type="dxa"/>
            <w:vMerge w:val="continue"/>
            <w:shd w:val="clear" w:color="auto" w:fill="auto"/>
            <w:vAlign w:val="center"/>
          </w:tcPr>
          <w:p w14:paraId="7726D10B">
            <w:pPr>
              <w:jc w:val="center"/>
              <w:rPr>
                <w:rFonts w:hint="eastAsia" w:ascii="宋体" w:hAnsi="宋体" w:cs="宋体"/>
                <w:color w:val="000000"/>
                <w:sz w:val="20"/>
                <w:szCs w:val="20"/>
              </w:rPr>
            </w:pPr>
          </w:p>
        </w:tc>
        <w:tc>
          <w:tcPr>
            <w:tcW w:w="621" w:type="dxa"/>
            <w:shd w:val="clear" w:color="auto" w:fill="auto"/>
            <w:vAlign w:val="center"/>
          </w:tcPr>
          <w:p w14:paraId="272E93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0" w:type="auto"/>
            <w:gridSpan w:val="3"/>
            <w:shd w:val="clear" w:color="auto" w:fill="auto"/>
            <w:noWrap/>
            <w:vAlign w:val="center"/>
          </w:tcPr>
          <w:p w14:paraId="40CC1D8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902" w:type="dxa"/>
            <w:shd w:val="clear" w:color="auto" w:fill="auto"/>
            <w:vAlign w:val="center"/>
          </w:tcPr>
          <w:p w14:paraId="7195D3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&lt;=0.5%</w:t>
            </w:r>
          </w:p>
        </w:tc>
        <w:tc>
          <w:tcPr>
            <w:tcW w:w="794" w:type="dxa"/>
            <w:shd w:val="clear" w:color="auto" w:fill="auto"/>
            <w:vAlign w:val="center"/>
          </w:tcPr>
          <w:p w14:paraId="1BCCBD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673" w:type="dxa"/>
            <w:gridSpan w:val="2"/>
            <w:shd w:val="clear" w:color="auto" w:fill="auto"/>
            <w:vAlign w:val="center"/>
          </w:tcPr>
          <w:p w14:paraId="187EA1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4D14E0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14:paraId="34FB04B7">
            <w:pPr>
              <w:jc w:val="center"/>
              <w:rPr>
                <w:rFonts w:hint="eastAsia" w:ascii="宋体" w:hAnsi="宋体" w:cs="宋体"/>
                <w:color w:val="000000"/>
                <w:sz w:val="20"/>
                <w:szCs w:val="20"/>
              </w:rPr>
            </w:pPr>
          </w:p>
        </w:tc>
      </w:tr>
      <w:tr w14:paraId="4D4C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350DB7F0">
            <w:pPr>
              <w:jc w:val="center"/>
              <w:rPr>
                <w:rFonts w:hint="eastAsia" w:ascii="宋体" w:hAnsi="宋体" w:cs="宋体"/>
                <w:color w:val="000000"/>
                <w:sz w:val="20"/>
                <w:szCs w:val="20"/>
              </w:rPr>
            </w:pPr>
          </w:p>
        </w:tc>
        <w:tc>
          <w:tcPr>
            <w:tcW w:w="506" w:type="dxa"/>
            <w:vMerge w:val="continue"/>
            <w:shd w:val="clear" w:color="auto" w:fill="auto"/>
            <w:vAlign w:val="center"/>
          </w:tcPr>
          <w:p w14:paraId="6A563C97">
            <w:pPr>
              <w:jc w:val="center"/>
              <w:rPr>
                <w:rFonts w:hint="eastAsia" w:ascii="宋体" w:hAnsi="宋体" w:cs="宋体"/>
                <w:color w:val="000000"/>
                <w:sz w:val="20"/>
                <w:szCs w:val="20"/>
              </w:rPr>
            </w:pPr>
          </w:p>
        </w:tc>
        <w:tc>
          <w:tcPr>
            <w:tcW w:w="621" w:type="dxa"/>
            <w:shd w:val="clear" w:color="auto" w:fill="auto"/>
            <w:vAlign w:val="center"/>
          </w:tcPr>
          <w:p w14:paraId="095F54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0" w:type="auto"/>
            <w:gridSpan w:val="3"/>
            <w:shd w:val="clear" w:color="auto" w:fill="auto"/>
            <w:noWrap/>
            <w:vAlign w:val="center"/>
          </w:tcPr>
          <w:p w14:paraId="294733E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县域内文物保护率</w:t>
            </w:r>
          </w:p>
        </w:tc>
        <w:tc>
          <w:tcPr>
            <w:tcW w:w="902" w:type="dxa"/>
            <w:shd w:val="clear" w:color="auto" w:fill="auto"/>
            <w:vAlign w:val="center"/>
          </w:tcPr>
          <w:p w14:paraId="2B9EA5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94" w:type="dxa"/>
            <w:shd w:val="clear" w:color="auto" w:fill="auto"/>
            <w:vAlign w:val="center"/>
          </w:tcPr>
          <w:p w14:paraId="0051E3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73" w:type="dxa"/>
            <w:gridSpan w:val="2"/>
            <w:shd w:val="clear" w:color="auto" w:fill="auto"/>
            <w:vAlign w:val="center"/>
          </w:tcPr>
          <w:p w14:paraId="608DA4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34F685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14:paraId="705D7B34">
            <w:pPr>
              <w:jc w:val="center"/>
              <w:rPr>
                <w:rFonts w:hint="eastAsia" w:ascii="宋体" w:hAnsi="宋体" w:cs="宋体"/>
                <w:color w:val="000000"/>
                <w:sz w:val="20"/>
                <w:szCs w:val="20"/>
              </w:rPr>
            </w:pPr>
          </w:p>
        </w:tc>
      </w:tr>
      <w:tr w14:paraId="1376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09E37D3F">
            <w:pPr>
              <w:jc w:val="center"/>
              <w:rPr>
                <w:rFonts w:hint="eastAsia" w:ascii="宋体" w:hAnsi="宋体" w:cs="宋体"/>
                <w:color w:val="000000"/>
                <w:sz w:val="20"/>
                <w:szCs w:val="20"/>
              </w:rPr>
            </w:pPr>
          </w:p>
        </w:tc>
        <w:tc>
          <w:tcPr>
            <w:tcW w:w="506" w:type="dxa"/>
            <w:vMerge w:val="continue"/>
            <w:shd w:val="clear" w:color="auto" w:fill="auto"/>
            <w:vAlign w:val="center"/>
          </w:tcPr>
          <w:p w14:paraId="7748863E">
            <w:pPr>
              <w:jc w:val="center"/>
              <w:rPr>
                <w:rFonts w:hint="eastAsia" w:ascii="宋体" w:hAnsi="宋体" w:cs="宋体"/>
                <w:color w:val="000000"/>
                <w:sz w:val="20"/>
                <w:szCs w:val="20"/>
              </w:rPr>
            </w:pPr>
          </w:p>
        </w:tc>
        <w:tc>
          <w:tcPr>
            <w:tcW w:w="621" w:type="dxa"/>
            <w:shd w:val="clear" w:color="auto" w:fill="auto"/>
            <w:vAlign w:val="center"/>
          </w:tcPr>
          <w:p w14:paraId="3452E6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0" w:type="auto"/>
            <w:gridSpan w:val="3"/>
            <w:shd w:val="clear" w:color="auto" w:fill="auto"/>
            <w:noWrap/>
            <w:vAlign w:val="center"/>
          </w:tcPr>
          <w:p w14:paraId="6B6AE85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可保护文物数量</w:t>
            </w:r>
          </w:p>
        </w:tc>
        <w:tc>
          <w:tcPr>
            <w:tcW w:w="902" w:type="dxa"/>
            <w:shd w:val="clear" w:color="auto" w:fill="auto"/>
            <w:vAlign w:val="center"/>
          </w:tcPr>
          <w:p w14:paraId="7F60C3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&gt;=100件</w:t>
            </w:r>
          </w:p>
        </w:tc>
        <w:tc>
          <w:tcPr>
            <w:tcW w:w="794" w:type="dxa"/>
            <w:shd w:val="clear" w:color="auto" w:fill="auto"/>
            <w:vAlign w:val="center"/>
          </w:tcPr>
          <w:p w14:paraId="3E26A0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=100件</w:t>
            </w:r>
          </w:p>
        </w:tc>
        <w:tc>
          <w:tcPr>
            <w:tcW w:w="673" w:type="dxa"/>
            <w:gridSpan w:val="2"/>
            <w:shd w:val="clear" w:color="auto" w:fill="auto"/>
            <w:vAlign w:val="center"/>
          </w:tcPr>
          <w:p w14:paraId="6AEC5C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0892A2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14:paraId="7C779AB0">
            <w:pPr>
              <w:jc w:val="center"/>
              <w:rPr>
                <w:rFonts w:hint="eastAsia" w:ascii="宋体" w:hAnsi="宋体" w:cs="宋体"/>
                <w:color w:val="000000"/>
                <w:sz w:val="20"/>
                <w:szCs w:val="20"/>
              </w:rPr>
            </w:pPr>
          </w:p>
        </w:tc>
      </w:tr>
      <w:tr w14:paraId="6046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7B5E0CFF">
            <w:pPr>
              <w:jc w:val="center"/>
              <w:rPr>
                <w:rFonts w:hint="eastAsia" w:ascii="宋体" w:hAnsi="宋体" w:cs="宋体"/>
                <w:color w:val="000000"/>
                <w:sz w:val="20"/>
                <w:szCs w:val="20"/>
              </w:rPr>
            </w:pPr>
          </w:p>
        </w:tc>
        <w:tc>
          <w:tcPr>
            <w:tcW w:w="506" w:type="dxa"/>
            <w:shd w:val="clear" w:color="auto" w:fill="auto"/>
            <w:vAlign w:val="center"/>
          </w:tcPr>
          <w:p w14:paraId="622588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621" w:type="dxa"/>
            <w:shd w:val="clear" w:color="auto" w:fill="auto"/>
            <w:vAlign w:val="center"/>
          </w:tcPr>
          <w:p w14:paraId="54E6F1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0" w:type="auto"/>
            <w:gridSpan w:val="3"/>
            <w:shd w:val="clear" w:color="auto" w:fill="auto"/>
            <w:noWrap/>
            <w:vAlign w:val="center"/>
          </w:tcPr>
          <w:p w14:paraId="3AD5622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馆内工作人员满意度</w:t>
            </w:r>
          </w:p>
        </w:tc>
        <w:tc>
          <w:tcPr>
            <w:tcW w:w="902" w:type="dxa"/>
            <w:shd w:val="clear" w:color="auto" w:fill="auto"/>
            <w:vAlign w:val="center"/>
          </w:tcPr>
          <w:p w14:paraId="2723B2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794" w:type="dxa"/>
            <w:shd w:val="clear" w:color="auto" w:fill="auto"/>
            <w:vAlign w:val="center"/>
          </w:tcPr>
          <w:p w14:paraId="1F72CA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=93%</w:t>
            </w:r>
          </w:p>
        </w:tc>
        <w:tc>
          <w:tcPr>
            <w:tcW w:w="673" w:type="dxa"/>
            <w:gridSpan w:val="2"/>
            <w:shd w:val="clear" w:color="auto" w:fill="auto"/>
            <w:vAlign w:val="center"/>
          </w:tcPr>
          <w:p w14:paraId="11C613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76E7FB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9.45</w:t>
            </w:r>
          </w:p>
        </w:tc>
        <w:tc>
          <w:tcPr>
            <w:tcW w:w="1079" w:type="dxa"/>
            <w:gridSpan w:val="2"/>
            <w:shd w:val="clear" w:color="auto" w:fill="auto"/>
            <w:vAlign w:val="center"/>
          </w:tcPr>
          <w:p w14:paraId="3CB3FE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因展厅装修提升改造项目，有部分展厅临时未开放。</w:t>
            </w:r>
          </w:p>
        </w:tc>
      </w:tr>
      <w:tr w14:paraId="5209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45" w:type="dxa"/>
            <w:gridSpan w:val="8"/>
            <w:shd w:val="clear" w:color="auto" w:fill="auto"/>
            <w:vAlign w:val="center"/>
          </w:tcPr>
          <w:p w14:paraId="157A46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673" w:type="dxa"/>
            <w:gridSpan w:val="2"/>
            <w:shd w:val="clear" w:color="auto" w:fill="auto"/>
            <w:vAlign w:val="center"/>
          </w:tcPr>
          <w:p w14:paraId="0EF672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25" w:type="dxa"/>
            <w:gridSpan w:val="2"/>
            <w:shd w:val="clear" w:color="auto" w:fill="auto"/>
            <w:vAlign w:val="center"/>
          </w:tcPr>
          <w:p w14:paraId="1F9C2A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89.45分</w:t>
            </w:r>
          </w:p>
        </w:tc>
        <w:tc>
          <w:tcPr>
            <w:tcW w:w="1079" w:type="dxa"/>
            <w:gridSpan w:val="2"/>
            <w:shd w:val="clear" w:color="auto" w:fill="auto"/>
            <w:vAlign w:val="center"/>
          </w:tcPr>
          <w:p w14:paraId="45185888">
            <w:pPr>
              <w:jc w:val="center"/>
              <w:rPr>
                <w:rFonts w:hint="eastAsia" w:ascii="宋体" w:hAnsi="宋体" w:cs="宋体"/>
                <w:color w:val="000000"/>
                <w:sz w:val="20"/>
                <w:szCs w:val="20"/>
              </w:rPr>
            </w:pPr>
          </w:p>
        </w:tc>
      </w:tr>
    </w:tbl>
    <w:p w14:paraId="44C0B7EA">
      <w:pPr>
        <w:ind w:firstLine="640" w:firstLineChars="200"/>
        <w:jc w:val="left"/>
        <w:rPr>
          <w:rFonts w:hint="eastAsia" w:ascii="黑体" w:hAnsi="黑体" w:eastAsia="黑体" w:cs="宋体"/>
          <w:bCs/>
          <w:kern w:val="0"/>
          <w:sz w:val="32"/>
          <w:szCs w:val="32"/>
        </w:rPr>
      </w:pPr>
    </w:p>
    <w:p w14:paraId="305C627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33AAD52">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D181C2C">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0FDA7B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E17E8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635D8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AB08E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26A55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46B03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8670D5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47719C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2474A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99B2B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0CFF83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571B23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5CFB5B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7AED7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2F4F315">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A1E220D">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10D3A1E">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37B723C">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1DA1967">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70D4156">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2904D91">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24FC9EE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0A68B4B3">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6DE8F40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CE6381D">
      <w:pPr>
        <w:ind w:firstLine="640" w:firstLineChars="200"/>
        <w:rPr>
          <w:rFonts w:ascii="仿宋_GB2312" w:eastAsia="仿宋_GB2312"/>
          <w:sz w:val="32"/>
          <w:szCs w:val="32"/>
        </w:rPr>
      </w:pPr>
    </w:p>
    <w:p w14:paraId="4703715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E6C5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BB1CC2">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6BB1CC2">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2D2FAA"/>
    <w:rsid w:val="0009741C"/>
    <w:rsid w:val="00164052"/>
    <w:rsid w:val="001E1D56"/>
    <w:rsid w:val="00213C59"/>
    <w:rsid w:val="00245950"/>
    <w:rsid w:val="002D2FAA"/>
    <w:rsid w:val="003210CE"/>
    <w:rsid w:val="003E26F8"/>
    <w:rsid w:val="004A4740"/>
    <w:rsid w:val="00512CE5"/>
    <w:rsid w:val="006D26BA"/>
    <w:rsid w:val="008229E5"/>
    <w:rsid w:val="009470C0"/>
    <w:rsid w:val="00B70D59"/>
    <w:rsid w:val="00D117BE"/>
    <w:rsid w:val="00DD6EF9"/>
    <w:rsid w:val="00EC294A"/>
    <w:rsid w:val="00F52A8D"/>
    <w:rsid w:val="019404F8"/>
    <w:rsid w:val="02BD3108"/>
    <w:rsid w:val="02F73D26"/>
    <w:rsid w:val="034D4FEF"/>
    <w:rsid w:val="035D1785"/>
    <w:rsid w:val="039F47CE"/>
    <w:rsid w:val="03E05CE8"/>
    <w:rsid w:val="03F973EE"/>
    <w:rsid w:val="043E5B56"/>
    <w:rsid w:val="047D31F5"/>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E31F1F"/>
    <w:rsid w:val="160D1149"/>
    <w:rsid w:val="163563C0"/>
    <w:rsid w:val="164315EF"/>
    <w:rsid w:val="16557DFE"/>
    <w:rsid w:val="167268FB"/>
    <w:rsid w:val="16770D0A"/>
    <w:rsid w:val="16D50C50"/>
    <w:rsid w:val="16E120E1"/>
    <w:rsid w:val="17385A05"/>
    <w:rsid w:val="173B3901"/>
    <w:rsid w:val="176747F9"/>
    <w:rsid w:val="17954A6E"/>
    <w:rsid w:val="17E95EFD"/>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3C262D"/>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5558</Words>
  <Characters>6482</Characters>
  <Lines>77</Lines>
  <Paragraphs>21</Paragraphs>
  <TotalTime>9</TotalTime>
  <ScaleCrop>false</ScaleCrop>
  <LinksUpToDate>false</LinksUpToDate>
  <CharactersWithSpaces>6490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2024-12-02T08:26:38Z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